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89A6" w14:textId="1B8E7E58" w:rsidR="00C56496" w:rsidRDefault="000353E9" w:rsidP="00B314CA">
      <w:pPr>
        <w:pStyle w:val="Heading1"/>
      </w:pPr>
      <w:bookmarkStart w:id="0" w:name="_GoBack"/>
      <w:bookmarkEnd w:id="0"/>
      <w:r>
        <w:t>Analysis of Multi-Family Housing</w:t>
      </w:r>
    </w:p>
    <w:p w14:paraId="46345EC8" w14:textId="65AA1DB7" w:rsidR="00FC5572" w:rsidRDefault="00415E36" w:rsidP="00B528C9">
      <w:pPr>
        <w:pStyle w:val="Heading2"/>
        <w:numPr>
          <w:ilvl w:val="0"/>
          <w:numId w:val="0"/>
        </w:numPr>
        <w:jc w:val="both"/>
        <w:rPr>
          <w:rFonts w:asciiTheme="minorHAnsi" w:eastAsiaTheme="minorHAnsi" w:hAnsiTheme="minorHAnsi" w:cstheme="minorBidi"/>
          <w:color w:val="auto"/>
          <w:sz w:val="22"/>
          <w:szCs w:val="24"/>
        </w:rPr>
      </w:pPr>
      <w:r w:rsidRPr="00415E36">
        <w:rPr>
          <w:rFonts w:asciiTheme="minorHAnsi" w:eastAsiaTheme="minorHAnsi" w:hAnsiTheme="minorHAnsi" w:cstheme="minorBidi"/>
          <w:color w:val="auto"/>
          <w:sz w:val="22"/>
          <w:szCs w:val="24"/>
        </w:rPr>
        <w:t>The analysis of Coventry's parcel data reveal</w:t>
      </w:r>
      <w:r w:rsidR="00E70E49">
        <w:rPr>
          <w:rFonts w:asciiTheme="minorHAnsi" w:eastAsiaTheme="minorHAnsi" w:hAnsiTheme="minorHAnsi" w:cstheme="minorBidi"/>
          <w:color w:val="auto"/>
          <w:sz w:val="22"/>
          <w:szCs w:val="24"/>
        </w:rPr>
        <w:t>ed</w:t>
      </w:r>
      <w:r w:rsidRPr="00415E36">
        <w:rPr>
          <w:rFonts w:asciiTheme="minorHAnsi" w:eastAsiaTheme="minorHAnsi" w:hAnsiTheme="minorHAnsi" w:cstheme="minorBidi"/>
          <w:color w:val="auto"/>
          <w:sz w:val="22"/>
          <w:szCs w:val="24"/>
        </w:rPr>
        <w:t xml:space="preserve"> important insights into the distribution of multi-family housing, the zones where multi-family uses already exist, and areas that may benefit from zoning amendments to allow multi-family developments by right. This summary highlights how multi-family housing is currently restricted and where zoning changes could effectively support more flexible housing development, particularly in the context of the town’s goals to increase housing opportunities.</w:t>
      </w:r>
      <w:r w:rsidR="00D13EBE">
        <w:rPr>
          <w:rFonts w:asciiTheme="minorHAnsi" w:eastAsiaTheme="minorHAnsi" w:hAnsiTheme="minorHAnsi" w:cstheme="minorBidi"/>
          <w:color w:val="auto"/>
          <w:sz w:val="22"/>
          <w:szCs w:val="24"/>
        </w:rPr>
        <w:t xml:space="preserve"> </w:t>
      </w:r>
      <w:r w:rsidR="00C62217" w:rsidRPr="00C62217">
        <w:rPr>
          <w:rFonts w:asciiTheme="minorHAnsi" w:eastAsiaTheme="minorHAnsi" w:hAnsiTheme="minorHAnsi" w:cstheme="minorBidi"/>
          <w:color w:val="auto"/>
          <w:sz w:val="22"/>
          <w:szCs w:val="24"/>
        </w:rPr>
        <w:t xml:space="preserve">To facilitate multi-family development by right in Coventry, several </w:t>
      </w:r>
      <w:r w:rsidR="00D21E0E">
        <w:rPr>
          <w:rFonts w:asciiTheme="minorHAnsi" w:eastAsiaTheme="minorHAnsi" w:hAnsiTheme="minorHAnsi" w:cstheme="minorBidi"/>
          <w:color w:val="auto"/>
          <w:sz w:val="22"/>
          <w:szCs w:val="24"/>
        </w:rPr>
        <w:t>potential</w:t>
      </w:r>
      <w:r w:rsidR="00C62217" w:rsidRPr="00C62217">
        <w:rPr>
          <w:rFonts w:asciiTheme="minorHAnsi" w:eastAsiaTheme="minorHAnsi" w:hAnsiTheme="minorHAnsi" w:cstheme="minorBidi"/>
          <w:color w:val="auto"/>
          <w:sz w:val="22"/>
          <w:szCs w:val="24"/>
        </w:rPr>
        <w:t xml:space="preserve"> amendments </w:t>
      </w:r>
      <w:r w:rsidR="00D21E0E">
        <w:rPr>
          <w:rFonts w:asciiTheme="minorHAnsi" w:eastAsiaTheme="minorHAnsi" w:hAnsiTheme="minorHAnsi" w:cstheme="minorBidi"/>
          <w:color w:val="auto"/>
          <w:sz w:val="22"/>
          <w:szCs w:val="24"/>
        </w:rPr>
        <w:t>have been suggested which could</w:t>
      </w:r>
      <w:r w:rsidR="00C62217" w:rsidRPr="00C62217">
        <w:rPr>
          <w:rFonts w:asciiTheme="minorHAnsi" w:eastAsiaTheme="minorHAnsi" w:hAnsiTheme="minorHAnsi" w:cstheme="minorBidi"/>
          <w:color w:val="auto"/>
          <w:sz w:val="22"/>
          <w:szCs w:val="24"/>
        </w:rPr>
        <w:t xml:space="preserve"> be made to the zoning ordinance. These changes involve updating zoning definitions, </w:t>
      </w:r>
      <w:r w:rsidR="00C62217" w:rsidRPr="00411DAA">
        <w:rPr>
          <w:rFonts w:asciiTheme="minorHAnsi" w:eastAsiaTheme="minorHAnsi" w:hAnsiTheme="minorHAnsi" w:cstheme="minorBidi"/>
          <w:color w:val="auto"/>
          <w:sz w:val="22"/>
          <w:szCs w:val="24"/>
        </w:rPr>
        <w:t>adjusting the Schedule of Zoning District Use Regulations, and modifying dimensional standards to support multi-family housing types</w:t>
      </w:r>
      <w:r w:rsidR="00220C20">
        <w:rPr>
          <w:rFonts w:asciiTheme="minorHAnsi" w:eastAsiaTheme="minorHAnsi" w:hAnsiTheme="minorHAnsi" w:cstheme="minorBidi"/>
          <w:color w:val="auto"/>
          <w:sz w:val="22"/>
          <w:szCs w:val="24"/>
        </w:rPr>
        <w:t>.</w:t>
      </w:r>
      <w:r w:rsidR="00FC5572">
        <w:rPr>
          <w:rFonts w:asciiTheme="minorHAnsi" w:eastAsiaTheme="minorHAnsi" w:hAnsiTheme="minorHAnsi" w:cstheme="minorBidi"/>
          <w:color w:val="auto"/>
          <w:sz w:val="22"/>
          <w:szCs w:val="24"/>
        </w:rPr>
        <w:t xml:space="preserve"> </w:t>
      </w:r>
    </w:p>
    <w:p w14:paraId="7E972D5B" w14:textId="6EF2E7BE" w:rsidR="00411DAA" w:rsidRPr="00411DAA" w:rsidRDefault="00220C20" w:rsidP="00B528C9">
      <w:pPr>
        <w:pStyle w:val="Heading2"/>
        <w:numPr>
          <w:ilvl w:val="0"/>
          <w:numId w:val="0"/>
        </w:numPr>
        <w:jc w:val="both"/>
        <w:rPr>
          <w:rFonts w:asciiTheme="minorHAnsi" w:eastAsiaTheme="minorHAnsi" w:hAnsiTheme="minorHAnsi" w:cstheme="minorBidi"/>
          <w:color w:val="auto"/>
          <w:sz w:val="22"/>
          <w:szCs w:val="24"/>
        </w:rPr>
      </w:pPr>
      <w:r w:rsidRPr="00220C20">
        <w:rPr>
          <w:rFonts w:asciiTheme="minorHAnsi" w:eastAsiaTheme="minorHAnsi" w:hAnsiTheme="minorHAnsi" w:cstheme="minorBidi"/>
          <w:color w:val="auto"/>
          <w:sz w:val="22"/>
          <w:szCs w:val="24"/>
        </w:rPr>
        <w:t xml:space="preserve">After </w:t>
      </w:r>
      <w:r w:rsidR="00C80D39">
        <w:rPr>
          <w:rFonts w:asciiTheme="minorHAnsi" w:eastAsiaTheme="minorHAnsi" w:hAnsiTheme="minorHAnsi" w:cstheme="minorBidi"/>
          <w:color w:val="auto"/>
          <w:sz w:val="22"/>
          <w:szCs w:val="24"/>
        </w:rPr>
        <w:t>receiving</w:t>
      </w:r>
      <w:r w:rsidRPr="00220C20">
        <w:rPr>
          <w:rFonts w:asciiTheme="minorHAnsi" w:eastAsiaTheme="minorHAnsi" w:hAnsiTheme="minorHAnsi" w:cstheme="minorBidi"/>
          <w:color w:val="auto"/>
          <w:sz w:val="22"/>
          <w:szCs w:val="24"/>
        </w:rPr>
        <w:t xml:space="preserve"> feedback and guidance from </w:t>
      </w:r>
      <w:r w:rsidR="00880B27">
        <w:rPr>
          <w:rFonts w:asciiTheme="minorHAnsi" w:eastAsiaTheme="minorHAnsi" w:hAnsiTheme="minorHAnsi" w:cstheme="minorBidi"/>
          <w:color w:val="auto"/>
          <w:sz w:val="22"/>
          <w:szCs w:val="24"/>
        </w:rPr>
        <w:t>t</w:t>
      </w:r>
      <w:r w:rsidRPr="00220C20">
        <w:rPr>
          <w:rFonts w:asciiTheme="minorHAnsi" w:eastAsiaTheme="minorHAnsi" w:hAnsiTheme="minorHAnsi" w:cstheme="minorBidi"/>
          <w:color w:val="auto"/>
          <w:sz w:val="22"/>
          <w:szCs w:val="24"/>
        </w:rPr>
        <w:t>own staff and Planning Commission members, our team will draft amendments</w:t>
      </w:r>
      <w:r w:rsidR="00C80D39">
        <w:rPr>
          <w:rFonts w:asciiTheme="minorHAnsi" w:eastAsiaTheme="minorHAnsi" w:hAnsiTheme="minorHAnsi" w:cstheme="minorBidi"/>
          <w:color w:val="auto"/>
          <w:sz w:val="22"/>
          <w:szCs w:val="24"/>
        </w:rPr>
        <w:t xml:space="preserve">, </w:t>
      </w:r>
      <w:r w:rsidR="00C80D39" w:rsidRPr="00220C20">
        <w:rPr>
          <w:rFonts w:asciiTheme="minorHAnsi" w:eastAsiaTheme="minorHAnsi" w:hAnsiTheme="minorHAnsi" w:cstheme="minorBidi"/>
          <w:color w:val="auto"/>
          <w:sz w:val="22"/>
          <w:szCs w:val="24"/>
        </w:rPr>
        <w:t>where appropriate,</w:t>
      </w:r>
      <w:r w:rsidRPr="00220C20">
        <w:rPr>
          <w:rFonts w:asciiTheme="minorHAnsi" w:eastAsiaTheme="minorHAnsi" w:hAnsiTheme="minorHAnsi" w:cstheme="minorBidi"/>
          <w:color w:val="auto"/>
          <w:sz w:val="22"/>
          <w:szCs w:val="24"/>
        </w:rPr>
        <w:t xml:space="preserve"> to some o</w:t>
      </w:r>
      <w:r w:rsidR="00C80D39">
        <w:rPr>
          <w:rFonts w:asciiTheme="minorHAnsi" w:eastAsiaTheme="minorHAnsi" w:hAnsiTheme="minorHAnsi" w:cstheme="minorBidi"/>
          <w:color w:val="auto"/>
          <w:sz w:val="22"/>
          <w:szCs w:val="24"/>
        </w:rPr>
        <w:t>r</w:t>
      </w:r>
      <w:r w:rsidRPr="00220C20">
        <w:rPr>
          <w:rFonts w:asciiTheme="minorHAnsi" w:eastAsiaTheme="minorHAnsi" w:hAnsiTheme="minorHAnsi" w:cstheme="minorBidi"/>
          <w:color w:val="auto"/>
          <w:sz w:val="22"/>
          <w:szCs w:val="24"/>
        </w:rPr>
        <w:t xml:space="preserve"> all of the Articles of the code of ordinances, as outlined in th</w:t>
      </w:r>
      <w:r w:rsidR="00880B27">
        <w:rPr>
          <w:rFonts w:asciiTheme="minorHAnsi" w:eastAsiaTheme="minorHAnsi" w:hAnsiTheme="minorHAnsi" w:cstheme="minorBidi"/>
          <w:color w:val="auto"/>
          <w:sz w:val="22"/>
          <w:szCs w:val="24"/>
        </w:rPr>
        <w:t xml:space="preserve">e </w:t>
      </w:r>
      <w:r w:rsidR="00FC5572">
        <w:rPr>
          <w:rFonts w:asciiTheme="minorHAnsi" w:eastAsiaTheme="minorHAnsi" w:hAnsiTheme="minorHAnsi" w:cstheme="minorBidi"/>
          <w:i/>
          <w:iCs/>
          <w:color w:val="auto"/>
          <w:sz w:val="22"/>
          <w:szCs w:val="24"/>
        </w:rPr>
        <w:t xml:space="preserve">Suggested Changes and </w:t>
      </w:r>
      <w:r w:rsidR="0046386E">
        <w:rPr>
          <w:rFonts w:asciiTheme="minorHAnsi" w:eastAsiaTheme="minorHAnsi" w:hAnsiTheme="minorHAnsi" w:cstheme="minorBidi"/>
          <w:i/>
          <w:iCs/>
          <w:color w:val="auto"/>
          <w:sz w:val="22"/>
          <w:szCs w:val="24"/>
        </w:rPr>
        <w:t>Amendments</w:t>
      </w:r>
      <w:r w:rsidR="00880B27">
        <w:rPr>
          <w:rFonts w:asciiTheme="minorHAnsi" w:eastAsiaTheme="minorHAnsi" w:hAnsiTheme="minorHAnsi" w:cstheme="minorBidi"/>
          <w:color w:val="auto"/>
          <w:sz w:val="22"/>
          <w:szCs w:val="24"/>
        </w:rPr>
        <w:t xml:space="preserve"> section of this report</w:t>
      </w:r>
      <w:r w:rsidRPr="00220C20">
        <w:rPr>
          <w:rFonts w:asciiTheme="minorHAnsi" w:eastAsiaTheme="minorHAnsi" w:hAnsiTheme="minorHAnsi" w:cstheme="minorBidi"/>
          <w:color w:val="auto"/>
          <w:sz w:val="22"/>
          <w:szCs w:val="24"/>
        </w:rPr>
        <w:t>.</w:t>
      </w:r>
    </w:p>
    <w:p w14:paraId="7C6F3067" w14:textId="605B93C8" w:rsidR="00845FA1" w:rsidRPr="00B314CA" w:rsidRDefault="00E107FD" w:rsidP="00B314CA">
      <w:pPr>
        <w:pStyle w:val="Heading2"/>
      </w:pPr>
      <w:r>
        <w:t xml:space="preserve">Task </w:t>
      </w:r>
      <w:r w:rsidR="001C1B95">
        <w:t>Description and Purpose</w:t>
      </w:r>
    </w:p>
    <w:p w14:paraId="6DD2DAD2" w14:textId="77777777" w:rsidR="007A342E" w:rsidRDefault="00340AE4" w:rsidP="00B314CA">
      <w:pPr>
        <w:pStyle w:val="Heading3"/>
      </w:pPr>
      <w:r w:rsidRPr="00480CB2">
        <w:t>Description:</w:t>
      </w:r>
      <w:r>
        <w:t xml:space="preserve"> </w:t>
      </w:r>
    </w:p>
    <w:p w14:paraId="55ABD9CB" w14:textId="2FBDCFD9" w:rsidR="00E107FD" w:rsidRPr="009F7BC2" w:rsidRDefault="00E107FD" w:rsidP="00B528C9">
      <w:pPr>
        <w:pStyle w:val="ListParagraph"/>
        <w:jc w:val="both"/>
      </w:pPr>
      <w:r w:rsidRPr="00E107FD">
        <w:t xml:space="preserve">Conduct an analysis of the allowance of two-family, three-family, and multi-family housing by right in certain districts. The Coventry zoning ordinance does not currently permit two-family, three-family, or </w:t>
      </w:r>
      <w:r w:rsidR="0035627C" w:rsidRPr="00E107FD">
        <w:t>multifamily</w:t>
      </w:r>
      <w:r w:rsidRPr="00E107FD">
        <w:t xml:space="preserve"> housing at all in any zoning district in the Town. They had previously been allowed, but more recent code changes have </w:t>
      </w:r>
      <w:r w:rsidR="0035627C" w:rsidRPr="00E107FD">
        <w:t>rendered</w:t>
      </w:r>
      <w:r w:rsidRPr="00E107FD">
        <w:t xml:space="preserve"> these uses as prohibited in all zones in Coventry. The Town would like to explore where changing regulations around this type housing to allow it as </w:t>
      </w:r>
      <w:r w:rsidR="0035627C">
        <w:t xml:space="preserve">a </w:t>
      </w:r>
      <w:r w:rsidRPr="00E107FD">
        <w:t>by-right use in appropriate areas</w:t>
      </w:r>
      <w:r w:rsidR="0035627C">
        <w:t>.</w:t>
      </w:r>
    </w:p>
    <w:p w14:paraId="5336F841" w14:textId="77777777" w:rsidR="00743C1D" w:rsidRPr="00743C1D" w:rsidRDefault="008D5F22" w:rsidP="009F7BC2">
      <w:pPr>
        <w:pStyle w:val="Heading3"/>
      </w:pPr>
      <w:r w:rsidRPr="00743C1D">
        <w:t>Purpose:</w:t>
      </w:r>
      <w:r>
        <w:t xml:space="preserve"> </w:t>
      </w:r>
    </w:p>
    <w:p w14:paraId="1F290175" w14:textId="3FFB59FA" w:rsidR="00D65246" w:rsidRPr="00FC5572" w:rsidRDefault="00D020B5" w:rsidP="00B528C9">
      <w:pPr>
        <w:pStyle w:val="ListParagraph"/>
        <w:numPr>
          <w:ilvl w:val="0"/>
          <w:numId w:val="1"/>
        </w:numPr>
        <w:jc w:val="both"/>
        <w:rPr>
          <w:b/>
          <w:bCs/>
        </w:rPr>
      </w:pPr>
      <w:r>
        <w:t>To e</w:t>
      </w:r>
      <w:r w:rsidR="001D6319" w:rsidRPr="001D6319">
        <w:t>valuate the distribution of multi-family housing across Coventry's zoning districts and identify opportunities where zoning amendments could allow multi-family developments by right</w:t>
      </w:r>
      <w:r w:rsidR="00D65246" w:rsidRPr="00D65246">
        <w:t>.</w:t>
      </w:r>
    </w:p>
    <w:p w14:paraId="08AE80BF" w14:textId="0A9793E2" w:rsidR="00FC5572" w:rsidRPr="00D65246" w:rsidRDefault="00FC5572" w:rsidP="00B528C9">
      <w:pPr>
        <w:pStyle w:val="ListParagraph"/>
        <w:numPr>
          <w:ilvl w:val="0"/>
          <w:numId w:val="1"/>
        </w:numPr>
        <w:jc w:val="both"/>
        <w:rPr>
          <w:b/>
          <w:bCs/>
        </w:rPr>
      </w:pPr>
      <w:r>
        <w:t>To provide a variety of strategies that, with the Planning Commissions recommendation, will guide our approach to revising the Town’s code of ordinances to allow multi-family housing by right strategically throughout the municipality.</w:t>
      </w:r>
    </w:p>
    <w:p w14:paraId="79B1471C" w14:textId="64D36954" w:rsidR="00A47977" w:rsidRDefault="001C1B95" w:rsidP="001C1B95">
      <w:pPr>
        <w:pStyle w:val="Heading2"/>
      </w:pPr>
      <w:r>
        <w:t>An Analysis</w:t>
      </w:r>
      <w:r w:rsidR="00973364">
        <w:t xml:space="preserve"> of </w:t>
      </w:r>
      <w:r w:rsidR="00A47977">
        <w:t xml:space="preserve">Existing Multi-Family </w:t>
      </w:r>
      <w:r w:rsidR="00973364">
        <w:t>Uses</w:t>
      </w:r>
    </w:p>
    <w:p w14:paraId="702EF096" w14:textId="234B11E1" w:rsidR="00962482" w:rsidRDefault="00A07BC5" w:rsidP="00BB11F5">
      <w:pPr>
        <w:pStyle w:val="Heading4"/>
      </w:pPr>
      <w:r>
        <w:t>Geographic</w:t>
      </w:r>
      <w:r w:rsidR="00C22390">
        <w:t xml:space="preserve"> Context of Multi-Family Housing in Coventry</w:t>
      </w:r>
      <w:r w:rsidR="00694A64">
        <w:t xml:space="preserve"> (</w:t>
      </w:r>
      <w:r w:rsidR="00694A64">
        <w:fldChar w:fldCharType="begin"/>
      </w:r>
      <w:r w:rsidR="00694A64">
        <w:instrText xml:space="preserve"> REF _Ref177039529 \h </w:instrText>
      </w:r>
      <w:r w:rsidR="00694A64">
        <w:fldChar w:fldCharType="separate"/>
      </w:r>
      <w:r w:rsidR="00694A64">
        <w:t xml:space="preserve">Map </w:t>
      </w:r>
      <w:r w:rsidR="00694A64">
        <w:rPr>
          <w:noProof/>
        </w:rPr>
        <w:t>1</w:t>
      </w:r>
      <w:r w:rsidR="00694A64">
        <w:fldChar w:fldCharType="end"/>
      </w:r>
      <w:r w:rsidR="00694A64">
        <w:t>)</w:t>
      </w:r>
    </w:p>
    <w:p w14:paraId="0D3EBF5E" w14:textId="4C394C0A" w:rsidR="00C22390" w:rsidRPr="00A07BC5" w:rsidRDefault="00C22390" w:rsidP="00B528C9">
      <w:pPr>
        <w:pStyle w:val="ListParagraph"/>
        <w:jc w:val="both"/>
      </w:pPr>
      <w:r w:rsidRPr="00A07BC5">
        <w:t>The highest concentration of multi-family housing parcels</w:t>
      </w:r>
      <w:r w:rsidR="00D379F3" w:rsidRPr="00A07BC5">
        <w:t>, as shown in Map</w:t>
      </w:r>
      <w:r w:rsidR="006A5239" w:rsidRPr="00A07BC5">
        <w:t xml:space="preserve"> 1,</w:t>
      </w:r>
      <w:r w:rsidRPr="00A07BC5">
        <w:t xml:space="preserve"> is located in the eastern part of Coventry, particularly along RI-116, RI-33, and the surrounding areas.</w:t>
      </w:r>
    </w:p>
    <w:p w14:paraId="4761A2F2" w14:textId="00098321" w:rsidR="001F294D" w:rsidRPr="00A07BC5" w:rsidRDefault="001F294D" w:rsidP="00B528C9">
      <w:pPr>
        <w:pStyle w:val="ListParagraph"/>
        <w:jc w:val="both"/>
      </w:pPr>
      <w:r w:rsidRPr="00A07BC5">
        <w:lastRenderedPageBreak/>
        <w:t xml:space="preserve">The northern and central areas, especially along RI-117 and north of RI-14, host scattered multi-family parcels, primarily of the </w:t>
      </w:r>
      <w:proofErr w:type="gramStart"/>
      <w:r w:rsidRPr="00A07BC5">
        <w:t>2-5 unit</w:t>
      </w:r>
      <w:proofErr w:type="gramEnd"/>
      <w:r w:rsidRPr="00A07BC5">
        <w:t xml:space="preserve"> variety. </w:t>
      </w:r>
    </w:p>
    <w:p w14:paraId="2549EE22" w14:textId="333508BE" w:rsidR="001F294D" w:rsidRPr="00A07BC5" w:rsidRDefault="001F294D" w:rsidP="00B528C9">
      <w:pPr>
        <w:pStyle w:val="ListParagraph"/>
        <w:jc w:val="both"/>
      </w:pPr>
      <w:r w:rsidRPr="00A07BC5">
        <w:t>In the southern part of Coventry, multi-family parcels are concentrated near RI-102 and RI-3, particularly where the roadways intersect. This area shows a small number of mixed-use developments, indicating a blend of commercial and residential use along transportation corridors.</w:t>
      </w:r>
    </w:p>
    <w:p w14:paraId="096D9984" w14:textId="7B668984" w:rsidR="00032443" w:rsidRPr="00A07BC5" w:rsidRDefault="00032443" w:rsidP="00B528C9">
      <w:pPr>
        <w:pStyle w:val="ListParagraph"/>
        <w:jc w:val="both"/>
      </w:pPr>
      <w:r w:rsidRPr="00A07BC5">
        <w:t>The majority of multi-family parcels are situated near Coventry’s key transportation routes, including RI-116, RI-117, RI-33, and RI-102. These roads serve as critical arteries, connecting residential areas to commercial centers, schools, and employment hubs. The clustering of multi-family housing near these roads emphasizes the importance of infrastructure in determining the location of higher-density housing</w:t>
      </w:r>
    </w:p>
    <w:p w14:paraId="4809EB2E" w14:textId="07560AAE" w:rsidR="00032443" w:rsidRPr="00C22390" w:rsidRDefault="00032443" w:rsidP="00032443"/>
    <w:p w14:paraId="29FD737A" w14:textId="363E061E" w:rsidR="00BB11F5" w:rsidRDefault="00BB11F5" w:rsidP="00BB11F5">
      <w:pPr>
        <w:pStyle w:val="Heading4"/>
      </w:pPr>
      <w:r>
        <w:t>Concentration of Multi-Family Housing in R20,</w:t>
      </w:r>
      <w:r w:rsidR="00625680">
        <w:t xml:space="preserve"> GB,</w:t>
      </w:r>
      <w:r>
        <w:t xml:space="preserve"> and RR Zones</w:t>
      </w:r>
      <w:r w:rsidR="00694A64">
        <w:t xml:space="preserve"> (</w:t>
      </w:r>
      <w:r w:rsidR="00694A64">
        <w:fldChar w:fldCharType="begin"/>
      </w:r>
      <w:r w:rsidR="00694A64">
        <w:instrText xml:space="preserve"> REF _Ref177039355 \h </w:instrText>
      </w:r>
      <w:r w:rsidR="00694A64">
        <w:fldChar w:fldCharType="separate"/>
      </w:r>
      <w:r w:rsidR="00694A64">
        <w:t xml:space="preserve">Table </w:t>
      </w:r>
      <w:r w:rsidR="00694A64">
        <w:rPr>
          <w:noProof/>
        </w:rPr>
        <w:t>1</w:t>
      </w:r>
      <w:r w:rsidR="00694A64">
        <w:fldChar w:fldCharType="end"/>
      </w:r>
      <w:r w:rsidR="00694A64">
        <w:t>)</w:t>
      </w:r>
    </w:p>
    <w:p w14:paraId="7F89894E" w14:textId="140DD342" w:rsidR="00625680" w:rsidRDefault="00625680" w:rsidP="00B528C9">
      <w:pPr>
        <w:pStyle w:val="ListParagraph"/>
        <w:jc w:val="both"/>
      </w:pPr>
      <w:r>
        <w:t>R20 (Residential 20) Zone: The majority of multi-family housing units (67.32%</w:t>
      </w:r>
      <w:r w:rsidR="00615803">
        <w:t xml:space="preserve">) </w:t>
      </w:r>
      <w:r>
        <w:t>are located in the R20 zone, with 365 parcels having 2-5 family units, 27 parcels having 6+ family units, and 20 parcels being designated as mixed-use. Although multi-family housing is not currently allowed by right in the R20 zone, its large presence indicates that many existing developments are non-conforming. This suggests an underlying demand for higher-density housing in areas already built up with infrastructure.</w:t>
      </w:r>
    </w:p>
    <w:p w14:paraId="7F38D973" w14:textId="77777777" w:rsidR="00625680" w:rsidRDefault="00625680" w:rsidP="00B528C9">
      <w:pPr>
        <w:pStyle w:val="ListParagraph"/>
        <w:jc w:val="both"/>
      </w:pPr>
      <w:r>
        <w:t>Rural Residential (RR2, RR3, RR5) Zones: The RR2, RR3, and RR5 zones encompass large rural parcels and account for 13.72% of multi-family housing. While these areas are currently zoned for low-density, single-family homes, the data indicates that there are some multi-family and mixed-use developments scattered throughout these zones. The large parcels in these areas, coupled with existing infrastructure, present opportunities to explore higher-density housing options.</w:t>
      </w:r>
    </w:p>
    <w:p w14:paraId="325D3AA9" w14:textId="2666BC61" w:rsidR="0039693C" w:rsidRDefault="00625680" w:rsidP="00B528C9">
      <w:pPr>
        <w:pStyle w:val="ListParagraph"/>
        <w:jc w:val="both"/>
      </w:pPr>
      <w:r>
        <w:t>General Business (GB) Zone: The GB zone already accommodates a mix of 2-5 family, 6+ family, and mixed-use developments, with a total of 37 parcels representing 6.05% of Coventry’s multi-family housing. The mix of residential and commercial uses in this zone suggests its suitability for further mixed-use development.</w:t>
      </w:r>
    </w:p>
    <w:p w14:paraId="04272932" w14:textId="77777777" w:rsidR="00FC5572" w:rsidRDefault="00FC5572" w:rsidP="00FC5572">
      <w:pPr>
        <w:pStyle w:val="Heading4"/>
        <w:numPr>
          <w:ilvl w:val="3"/>
          <w:numId w:val="0"/>
        </w:numPr>
      </w:pPr>
      <w:r>
        <w:t>Mixed-Use and Multi-Family Housing in VMC and VRC Zones (</w:t>
      </w:r>
      <w:r>
        <w:fldChar w:fldCharType="begin"/>
      </w:r>
      <w:r>
        <w:instrText xml:space="preserve"> REF _Ref177039355 \h </w:instrText>
      </w:r>
      <w:r>
        <w:fldChar w:fldCharType="separate"/>
      </w:r>
      <w:r>
        <w:t xml:space="preserve">Table </w:t>
      </w:r>
      <w:r>
        <w:rPr>
          <w:noProof/>
        </w:rPr>
        <w:t>1</w:t>
      </w:r>
      <w:r>
        <w:fldChar w:fldCharType="end"/>
      </w:r>
      <w:r>
        <w:t>)</w:t>
      </w:r>
    </w:p>
    <w:p w14:paraId="6D641F7B" w14:textId="77777777" w:rsidR="00FC5572" w:rsidRDefault="00FC5572" w:rsidP="00FC5572">
      <w:pPr>
        <w:pStyle w:val="ListParagraph"/>
        <w:jc w:val="both"/>
      </w:pPr>
      <w:r>
        <w:t>Village Main Commercial (VMC) Zone: Representing 4.74% of multi-family housing in Coventry, the VMC zone has 16 parcels with 2-5 family units, 5 parcels with 6+ family units, and 8 parcels designated as mixed-use. The smaller parcel sizes and commercial nature of this zone make it an ideal area for village-scale development that blends housing and local services.</w:t>
      </w:r>
    </w:p>
    <w:p w14:paraId="3813C41F" w14:textId="2FCFA5D1" w:rsidR="0039693C" w:rsidRDefault="00FC5572" w:rsidP="002D21A8">
      <w:pPr>
        <w:pStyle w:val="ListParagraph"/>
        <w:jc w:val="both"/>
        <w:sectPr w:rsidR="0039693C" w:rsidSect="0039693C">
          <w:headerReference w:type="default" r:id="rId8"/>
          <w:footerReference w:type="default" r:id="rId9"/>
          <w:pgSz w:w="12240" w:h="15840"/>
          <w:pgMar w:top="1440" w:right="1440" w:bottom="1440" w:left="1440" w:header="720" w:footer="720" w:gutter="0"/>
          <w:cols w:space="720"/>
          <w:docGrid w:linePitch="360"/>
        </w:sectPr>
      </w:pPr>
      <w:r>
        <w:t>Village Rural Commercial (VRC) Zone: With only 3 mixed-use parcels (0.49% of total multi-family housing), the VRC zone is less developed but presents potential for future growth. Its village character and proximity to local amenities make it suitable for multi-family housing in the future.</w:t>
      </w:r>
      <w:r w:rsidR="0039693C">
        <w:br w:type="page"/>
      </w:r>
    </w:p>
    <w:p w14:paraId="7F469C3C" w14:textId="77777777" w:rsidR="00504040" w:rsidRDefault="00504040" w:rsidP="00504040">
      <w:pPr>
        <w:pStyle w:val="Caption"/>
        <w:keepNext/>
        <w:jc w:val="center"/>
      </w:pPr>
      <w:r>
        <w:lastRenderedPageBreak/>
        <w:t xml:space="preserve">Map </w:t>
      </w:r>
      <w:r w:rsidR="00894D3F">
        <w:fldChar w:fldCharType="begin"/>
      </w:r>
      <w:r w:rsidR="00894D3F">
        <w:instrText xml:space="preserve"> SEQ Map \* ARABIC </w:instrText>
      </w:r>
      <w:r w:rsidR="00894D3F">
        <w:fldChar w:fldCharType="separate"/>
      </w:r>
      <w:r>
        <w:rPr>
          <w:noProof/>
        </w:rPr>
        <w:t>1</w:t>
      </w:r>
      <w:r w:rsidR="00894D3F">
        <w:rPr>
          <w:noProof/>
        </w:rPr>
        <w:fldChar w:fldCharType="end"/>
      </w:r>
      <w:r>
        <w:t>:</w:t>
      </w:r>
      <w:r w:rsidRPr="008548C8">
        <w:t>Geographic Distribution of Multi-Family Housing and Mixed-Use Developments in Coventry</w:t>
      </w:r>
    </w:p>
    <w:p w14:paraId="60852BE6" w14:textId="18D04168" w:rsidR="0039693C" w:rsidRDefault="0039693C" w:rsidP="00FC5572">
      <w:pPr>
        <w:pStyle w:val="ListParagraph"/>
        <w:numPr>
          <w:ilvl w:val="0"/>
          <w:numId w:val="0"/>
        </w:numPr>
        <w:ind w:left="720"/>
        <w:jc w:val="center"/>
        <w:sectPr w:rsidR="0039693C" w:rsidSect="0039693C">
          <w:pgSz w:w="15840" w:h="12240" w:orient="landscape"/>
          <w:pgMar w:top="1440" w:right="1440" w:bottom="1440" w:left="1440" w:header="720" w:footer="720" w:gutter="0"/>
          <w:cols w:space="720"/>
          <w:docGrid w:linePitch="360"/>
        </w:sectPr>
      </w:pPr>
      <w:r>
        <w:rPr>
          <w:noProof/>
        </w:rPr>
        <w:drawing>
          <wp:anchor distT="0" distB="0" distL="114300" distR="114300" simplePos="0" relativeHeight="251658240" behindDoc="0" locked="0" layoutInCell="1" allowOverlap="1" wp14:anchorId="77463CF8" wp14:editId="0869F22D">
            <wp:simplePos x="0" y="0"/>
            <wp:positionH relativeFrom="column">
              <wp:posOffset>240665</wp:posOffset>
            </wp:positionH>
            <wp:positionV relativeFrom="paragraph">
              <wp:posOffset>2540</wp:posOffset>
            </wp:positionV>
            <wp:extent cx="7748622" cy="5242560"/>
            <wp:effectExtent l="0" t="0" r="5080" b="0"/>
            <wp:wrapTopAndBottom/>
            <wp:docPr id="698754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5478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622" cy="5242560"/>
                    </a:xfrm>
                    <a:prstGeom prst="rect">
                      <a:avLst/>
                    </a:prstGeom>
                  </pic:spPr>
                </pic:pic>
              </a:graphicData>
            </a:graphic>
            <wp14:sizeRelH relativeFrom="page">
              <wp14:pctWidth>0</wp14:pctWidth>
            </wp14:sizeRelH>
            <wp14:sizeRelV relativeFrom="page">
              <wp14:pctHeight>0</wp14:pctHeight>
            </wp14:sizeRelV>
          </wp:anchor>
        </w:drawing>
      </w:r>
      <w:r>
        <w:br w:type="page"/>
      </w:r>
    </w:p>
    <w:p w14:paraId="306EEAA6" w14:textId="41212630" w:rsidR="00371EF7" w:rsidRDefault="00371EF7" w:rsidP="00371EF7">
      <w:pPr>
        <w:pStyle w:val="Caption"/>
        <w:keepNext/>
        <w:jc w:val="center"/>
      </w:pPr>
      <w:bookmarkStart w:id="1" w:name="_Ref177039355"/>
      <w:bookmarkStart w:id="2" w:name="_Ref177039385"/>
      <w:r>
        <w:lastRenderedPageBreak/>
        <w:t xml:space="preserve">Table </w:t>
      </w:r>
      <w:fldSimple w:instr=" SEQ Table \* ARABIC ">
        <w:r w:rsidR="00ED2E3D">
          <w:rPr>
            <w:noProof/>
          </w:rPr>
          <w:t>1</w:t>
        </w:r>
      </w:fldSimple>
      <w:bookmarkEnd w:id="1"/>
      <w:r>
        <w:t>:</w:t>
      </w:r>
      <w:r w:rsidRPr="009716BF">
        <w:t xml:space="preserve"> </w:t>
      </w:r>
      <w:bookmarkStart w:id="3" w:name="_Ref177039375"/>
      <w:r w:rsidRPr="009716BF">
        <w:t>Multi-Family Housing Distribution</w:t>
      </w:r>
      <w:bookmarkEnd w:id="2"/>
      <w:bookmarkEnd w:id="3"/>
    </w:p>
    <w:tbl>
      <w:tblPr>
        <w:tblStyle w:val="TableGrid"/>
        <w:tblW w:w="0" w:type="auto"/>
        <w:jc w:val="center"/>
        <w:tblLayout w:type="fixed"/>
        <w:tblLook w:val="04A0" w:firstRow="1" w:lastRow="0" w:firstColumn="1" w:lastColumn="0" w:noHBand="0" w:noVBand="1"/>
      </w:tblPr>
      <w:tblGrid>
        <w:gridCol w:w="1454"/>
        <w:gridCol w:w="1454"/>
        <w:gridCol w:w="1454"/>
        <w:gridCol w:w="1454"/>
        <w:gridCol w:w="1454"/>
        <w:gridCol w:w="1455"/>
      </w:tblGrid>
      <w:tr w:rsidR="001B2ECC" w14:paraId="3E228BFA" w14:textId="77777777" w:rsidTr="00ED2E3D">
        <w:trPr>
          <w:jc w:val="center"/>
        </w:trPr>
        <w:tc>
          <w:tcPr>
            <w:tcW w:w="1454" w:type="dxa"/>
            <w:shd w:val="clear" w:color="auto" w:fill="041E42" w:themeFill="accent6"/>
            <w:vAlign w:val="bottom"/>
          </w:tcPr>
          <w:p w14:paraId="3A469BE6" w14:textId="77777777" w:rsidR="001B2ECC" w:rsidRPr="00BB7176" w:rsidRDefault="001B2ECC" w:rsidP="001B2ECC">
            <w:pPr>
              <w:jc w:val="center"/>
              <w:rPr>
                <w:rFonts w:asciiTheme="majorHAnsi" w:hAnsiTheme="majorHAnsi"/>
                <w:color w:val="FFFFFF" w:themeColor="background1"/>
              </w:rPr>
            </w:pPr>
            <w:r w:rsidRPr="00BB7176">
              <w:rPr>
                <w:rFonts w:asciiTheme="majorHAnsi" w:hAnsiTheme="majorHAnsi" w:cs="Arial"/>
                <w:color w:val="FFFFFF" w:themeColor="background1"/>
                <w:sz w:val="20"/>
                <w:szCs w:val="20"/>
              </w:rPr>
              <w:t>Zoning District</w:t>
            </w:r>
          </w:p>
        </w:tc>
        <w:tc>
          <w:tcPr>
            <w:tcW w:w="1454" w:type="dxa"/>
            <w:shd w:val="clear" w:color="auto" w:fill="041E42" w:themeFill="accent6"/>
            <w:vAlign w:val="bottom"/>
          </w:tcPr>
          <w:p w14:paraId="4FD25450" w14:textId="46472B41" w:rsidR="001B2ECC" w:rsidRPr="00BB7176" w:rsidRDefault="001B2ECC" w:rsidP="001B2EC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2-5 Family Dwelling Units</w:t>
            </w:r>
          </w:p>
        </w:tc>
        <w:tc>
          <w:tcPr>
            <w:tcW w:w="1454" w:type="dxa"/>
            <w:shd w:val="clear" w:color="auto" w:fill="041E42" w:themeFill="accent6"/>
            <w:vAlign w:val="bottom"/>
          </w:tcPr>
          <w:p w14:paraId="5C288BDC" w14:textId="1EF310FA" w:rsidR="001B2ECC" w:rsidRPr="00BB7176" w:rsidRDefault="001B2ECC" w:rsidP="001B2EC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6</w:t>
            </w:r>
            <w:r w:rsidR="00637411">
              <w:rPr>
                <w:rFonts w:asciiTheme="majorHAnsi" w:hAnsiTheme="majorHAnsi" w:cs="Arial"/>
                <w:color w:val="FFFFFF" w:themeColor="background1"/>
                <w:sz w:val="20"/>
                <w:szCs w:val="20"/>
              </w:rPr>
              <w:t xml:space="preserve"> or More</w:t>
            </w:r>
            <w:r w:rsidRPr="000B1E05">
              <w:rPr>
                <w:rFonts w:asciiTheme="majorHAnsi" w:hAnsiTheme="majorHAnsi" w:cs="Arial"/>
                <w:color w:val="FFFFFF" w:themeColor="background1"/>
                <w:sz w:val="20"/>
                <w:szCs w:val="20"/>
              </w:rPr>
              <w:t xml:space="preserve"> D</w:t>
            </w:r>
            <w:r w:rsidR="000B1E05" w:rsidRPr="000B1E05">
              <w:rPr>
                <w:rFonts w:asciiTheme="majorHAnsi" w:hAnsiTheme="majorHAnsi" w:cs="Arial"/>
                <w:color w:val="FFFFFF" w:themeColor="background1"/>
                <w:sz w:val="20"/>
                <w:szCs w:val="20"/>
              </w:rPr>
              <w:t>welling Units</w:t>
            </w:r>
          </w:p>
        </w:tc>
        <w:tc>
          <w:tcPr>
            <w:tcW w:w="1454" w:type="dxa"/>
            <w:shd w:val="clear" w:color="auto" w:fill="041E42" w:themeFill="accent6"/>
            <w:vAlign w:val="bottom"/>
          </w:tcPr>
          <w:p w14:paraId="35BCEBB5" w14:textId="1DC4EC54" w:rsidR="001B2ECC" w:rsidRPr="00BB7176" w:rsidRDefault="000B1E05" w:rsidP="001B2EC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Mixed-Use</w:t>
            </w:r>
          </w:p>
        </w:tc>
        <w:tc>
          <w:tcPr>
            <w:tcW w:w="1454" w:type="dxa"/>
            <w:shd w:val="clear" w:color="auto" w:fill="041E42" w:themeFill="accent6"/>
            <w:vAlign w:val="bottom"/>
          </w:tcPr>
          <w:p w14:paraId="41D7AACF" w14:textId="6796E1DB" w:rsidR="001B2ECC" w:rsidRPr="00BB7176" w:rsidRDefault="00637411" w:rsidP="001B2ECC">
            <w:pPr>
              <w:jc w:val="center"/>
              <w:rPr>
                <w:rFonts w:asciiTheme="majorHAnsi" w:hAnsiTheme="majorHAnsi" w:cs="Arial"/>
                <w:color w:val="FFFFFF" w:themeColor="background1"/>
                <w:sz w:val="20"/>
                <w:szCs w:val="20"/>
              </w:rPr>
            </w:pPr>
            <w:r>
              <w:rPr>
                <w:rFonts w:asciiTheme="majorHAnsi" w:hAnsiTheme="majorHAnsi" w:cs="Arial"/>
                <w:color w:val="FFFFFF" w:themeColor="background1"/>
                <w:sz w:val="20"/>
                <w:szCs w:val="20"/>
              </w:rPr>
              <w:t>Total</w:t>
            </w:r>
          </w:p>
        </w:tc>
        <w:tc>
          <w:tcPr>
            <w:tcW w:w="1455" w:type="dxa"/>
            <w:shd w:val="clear" w:color="auto" w:fill="041E42" w:themeFill="accent6"/>
            <w:vAlign w:val="bottom"/>
          </w:tcPr>
          <w:p w14:paraId="09C0A264" w14:textId="73842C2A" w:rsidR="001B2ECC" w:rsidRPr="00BB7176" w:rsidRDefault="00637411" w:rsidP="001B2ECC">
            <w:pPr>
              <w:jc w:val="center"/>
              <w:rPr>
                <w:rFonts w:asciiTheme="majorHAnsi" w:hAnsiTheme="majorHAnsi"/>
                <w:color w:val="FFFFFF" w:themeColor="background1"/>
              </w:rPr>
            </w:pPr>
            <w:r>
              <w:rPr>
                <w:rFonts w:asciiTheme="majorHAnsi" w:hAnsiTheme="majorHAnsi" w:cs="Arial"/>
                <w:color w:val="FFFFFF" w:themeColor="background1"/>
                <w:sz w:val="20"/>
                <w:szCs w:val="20"/>
              </w:rPr>
              <w:t>Total (%)</w:t>
            </w:r>
          </w:p>
        </w:tc>
      </w:tr>
      <w:tr w:rsidR="001B2ECC" w14:paraId="70F117A7" w14:textId="77777777" w:rsidTr="00ED2E3D">
        <w:trPr>
          <w:jc w:val="center"/>
        </w:trPr>
        <w:tc>
          <w:tcPr>
            <w:tcW w:w="1454" w:type="dxa"/>
            <w:vAlign w:val="bottom"/>
          </w:tcPr>
          <w:p w14:paraId="4E60D1C2" w14:textId="77777777" w:rsidR="001B2ECC" w:rsidRPr="000C386B" w:rsidRDefault="001B2ECC" w:rsidP="001B2ECC">
            <w:pPr>
              <w:jc w:val="center"/>
              <w:rPr>
                <w:b/>
                <w:bCs/>
              </w:rPr>
            </w:pPr>
            <w:r w:rsidRPr="000C386B">
              <w:rPr>
                <w:rFonts w:cs="Arial"/>
                <w:b/>
                <w:bCs/>
                <w:sz w:val="20"/>
                <w:szCs w:val="20"/>
              </w:rPr>
              <w:t>R20</w:t>
            </w:r>
          </w:p>
        </w:tc>
        <w:tc>
          <w:tcPr>
            <w:tcW w:w="1454" w:type="dxa"/>
            <w:vAlign w:val="bottom"/>
          </w:tcPr>
          <w:p w14:paraId="0B8319C4" w14:textId="65C6822B" w:rsidR="001B2ECC" w:rsidRPr="00BB7176" w:rsidRDefault="001B2ECC" w:rsidP="001B2ECC">
            <w:pPr>
              <w:jc w:val="center"/>
              <w:rPr>
                <w:rFonts w:cs="Arial"/>
                <w:sz w:val="20"/>
                <w:szCs w:val="20"/>
              </w:rPr>
            </w:pPr>
            <w:r>
              <w:rPr>
                <w:rFonts w:ascii="Arial" w:hAnsi="Arial" w:cs="Arial"/>
                <w:sz w:val="20"/>
                <w:szCs w:val="20"/>
              </w:rPr>
              <w:t>365</w:t>
            </w:r>
          </w:p>
        </w:tc>
        <w:tc>
          <w:tcPr>
            <w:tcW w:w="1454" w:type="dxa"/>
            <w:vAlign w:val="bottom"/>
          </w:tcPr>
          <w:p w14:paraId="02B8C4A6" w14:textId="0B7C937A" w:rsidR="001B2ECC" w:rsidRPr="00BB7176" w:rsidRDefault="001B2ECC" w:rsidP="001B2ECC">
            <w:pPr>
              <w:jc w:val="center"/>
              <w:rPr>
                <w:rFonts w:cs="Arial"/>
                <w:sz w:val="20"/>
                <w:szCs w:val="20"/>
              </w:rPr>
            </w:pPr>
            <w:r>
              <w:rPr>
                <w:rFonts w:ascii="Arial" w:hAnsi="Arial" w:cs="Arial"/>
                <w:sz w:val="20"/>
                <w:szCs w:val="20"/>
              </w:rPr>
              <w:t>27</w:t>
            </w:r>
          </w:p>
        </w:tc>
        <w:tc>
          <w:tcPr>
            <w:tcW w:w="1454" w:type="dxa"/>
            <w:vAlign w:val="bottom"/>
          </w:tcPr>
          <w:p w14:paraId="72A553A7" w14:textId="4532595B" w:rsidR="001B2ECC" w:rsidRPr="00BB7176" w:rsidRDefault="001B2ECC" w:rsidP="001B2ECC">
            <w:pPr>
              <w:jc w:val="center"/>
              <w:rPr>
                <w:rFonts w:cs="Arial"/>
                <w:sz w:val="20"/>
                <w:szCs w:val="20"/>
              </w:rPr>
            </w:pPr>
            <w:r>
              <w:rPr>
                <w:rFonts w:ascii="Arial" w:hAnsi="Arial" w:cs="Arial"/>
                <w:sz w:val="20"/>
                <w:szCs w:val="20"/>
              </w:rPr>
              <w:t>20</w:t>
            </w:r>
          </w:p>
        </w:tc>
        <w:tc>
          <w:tcPr>
            <w:tcW w:w="1454" w:type="dxa"/>
            <w:vAlign w:val="bottom"/>
          </w:tcPr>
          <w:p w14:paraId="735BD471" w14:textId="0A68D44D" w:rsidR="001B2ECC" w:rsidRPr="00BB7176" w:rsidRDefault="001B2ECC" w:rsidP="001B2ECC">
            <w:pPr>
              <w:jc w:val="center"/>
              <w:rPr>
                <w:rFonts w:cs="Arial"/>
                <w:sz w:val="20"/>
                <w:szCs w:val="20"/>
              </w:rPr>
            </w:pPr>
            <w:r w:rsidRPr="00BB7176">
              <w:rPr>
                <w:rFonts w:cs="Arial"/>
                <w:sz w:val="20"/>
                <w:szCs w:val="20"/>
              </w:rPr>
              <w:t>412</w:t>
            </w:r>
          </w:p>
        </w:tc>
        <w:tc>
          <w:tcPr>
            <w:tcW w:w="1455" w:type="dxa"/>
            <w:vAlign w:val="bottom"/>
          </w:tcPr>
          <w:p w14:paraId="24F1F281" w14:textId="77777777" w:rsidR="001B2ECC" w:rsidRPr="00BB7176" w:rsidRDefault="001B2ECC" w:rsidP="001B2ECC">
            <w:pPr>
              <w:jc w:val="center"/>
            </w:pPr>
            <w:r w:rsidRPr="00BB7176">
              <w:rPr>
                <w:rFonts w:cs="Arial"/>
                <w:sz w:val="20"/>
                <w:szCs w:val="20"/>
              </w:rPr>
              <w:t>67.32%</w:t>
            </w:r>
          </w:p>
        </w:tc>
      </w:tr>
      <w:tr w:rsidR="001B2ECC" w14:paraId="49D0FE6E" w14:textId="77777777" w:rsidTr="00ED2E3D">
        <w:trPr>
          <w:jc w:val="center"/>
        </w:trPr>
        <w:tc>
          <w:tcPr>
            <w:tcW w:w="1454" w:type="dxa"/>
            <w:vAlign w:val="bottom"/>
          </w:tcPr>
          <w:p w14:paraId="6C2544DF" w14:textId="77777777" w:rsidR="001B2ECC" w:rsidRPr="000C386B" w:rsidRDefault="001B2ECC" w:rsidP="001B2ECC">
            <w:pPr>
              <w:jc w:val="center"/>
              <w:rPr>
                <w:b/>
                <w:bCs/>
              </w:rPr>
            </w:pPr>
            <w:r w:rsidRPr="000C386B">
              <w:rPr>
                <w:rFonts w:cs="Arial"/>
                <w:b/>
                <w:bCs/>
                <w:sz w:val="20"/>
                <w:szCs w:val="20"/>
              </w:rPr>
              <w:t>RR2</w:t>
            </w:r>
          </w:p>
        </w:tc>
        <w:tc>
          <w:tcPr>
            <w:tcW w:w="1454" w:type="dxa"/>
            <w:vAlign w:val="bottom"/>
          </w:tcPr>
          <w:p w14:paraId="7555A848" w14:textId="379ACE14" w:rsidR="001B2ECC" w:rsidRPr="00BB7176" w:rsidRDefault="001B2ECC" w:rsidP="001B2ECC">
            <w:pPr>
              <w:jc w:val="center"/>
              <w:rPr>
                <w:rFonts w:cs="Arial"/>
                <w:sz w:val="20"/>
                <w:szCs w:val="20"/>
              </w:rPr>
            </w:pPr>
            <w:r>
              <w:rPr>
                <w:rFonts w:ascii="Arial" w:hAnsi="Arial" w:cs="Arial"/>
                <w:sz w:val="20"/>
                <w:szCs w:val="20"/>
              </w:rPr>
              <w:t>32</w:t>
            </w:r>
          </w:p>
        </w:tc>
        <w:tc>
          <w:tcPr>
            <w:tcW w:w="1454" w:type="dxa"/>
            <w:vAlign w:val="bottom"/>
          </w:tcPr>
          <w:p w14:paraId="693DB5DE" w14:textId="48E09CD2" w:rsidR="001B2ECC" w:rsidRPr="00BB7176" w:rsidRDefault="001B2ECC" w:rsidP="001B2ECC">
            <w:pPr>
              <w:jc w:val="center"/>
              <w:rPr>
                <w:rFonts w:cs="Arial"/>
                <w:sz w:val="20"/>
                <w:szCs w:val="20"/>
              </w:rPr>
            </w:pPr>
            <w:r>
              <w:rPr>
                <w:rFonts w:ascii="Arial" w:hAnsi="Arial" w:cs="Arial"/>
                <w:sz w:val="20"/>
                <w:szCs w:val="20"/>
              </w:rPr>
              <w:t>2</w:t>
            </w:r>
          </w:p>
        </w:tc>
        <w:tc>
          <w:tcPr>
            <w:tcW w:w="1454" w:type="dxa"/>
            <w:vAlign w:val="bottom"/>
          </w:tcPr>
          <w:p w14:paraId="1F66DB25" w14:textId="6BED1009" w:rsidR="001B2ECC" w:rsidRPr="00BB7176" w:rsidRDefault="001B2ECC" w:rsidP="001B2ECC">
            <w:pPr>
              <w:jc w:val="center"/>
              <w:rPr>
                <w:rFonts w:cs="Arial"/>
                <w:sz w:val="20"/>
                <w:szCs w:val="20"/>
              </w:rPr>
            </w:pPr>
            <w:r>
              <w:rPr>
                <w:rFonts w:ascii="Arial" w:hAnsi="Arial" w:cs="Arial"/>
                <w:sz w:val="20"/>
                <w:szCs w:val="20"/>
              </w:rPr>
              <w:t>7</w:t>
            </w:r>
          </w:p>
        </w:tc>
        <w:tc>
          <w:tcPr>
            <w:tcW w:w="1454" w:type="dxa"/>
            <w:vAlign w:val="bottom"/>
          </w:tcPr>
          <w:p w14:paraId="6CD00BBB" w14:textId="25C55BFE" w:rsidR="001B2ECC" w:rsidRPr="00BB7176" w:rsidRDefault="001B2ECC" w:rsidP="001B2ECC">
            <w:pPr>
              <w:jc w:val="center"/>
              <w:rPr>
                <w:rFonts w:cs="Arial"/>
                <w:sz w:val="20"/>
                <w:szCs w:val="20"/>
              </w:rPr>
            </w:pPr>
            <w:r w:rsidRPr="00BB7176">
              <w:rPr>
                <w:rFonts w:cs="Arial"/>
                <w:sz w:val="20"/>
                <w:szCs w:val="20"/>
              </w:rPr>
              <w:t>41</w:t>
            </w:r>
          </w:p>
        </w:tc>
        <w:tc>
          <w:tcPr>
            <w:tcW w:w="1455" w:type="dxa"/>
            <w:vAlign w:val="bottom"/>
          </w:tcPr>
          <w:p w14:paraId="045EF45B" w14:textId="77777777" w:rsidR="001B2ECC" w:rsidRPr="00BB7176" w:rsidRDefault="001B2ECC" w:rsidP="001B2ECC">
            <w:pPr>
              <w:jc w:val="center"/>
            </w:pPr>
            <w:r w:rsidRPr="00BB7176">
              <w:rPr>
                <w:rFonts w:cs="Arial"/>
                <w:sz w:val="20"/>
                <w:szCs w:val="20"/>
              </w:rPr>
              <w:t>6.70%</w:t>
            </w:r>
          </w:p>
        </w:tc>
      </w:tr>
      <w:tr w:rsidR="001B2ECC" w14:paraId="3F0C969B" w14:textId="77777777" w:rsidTr="00ED2E3D">
        <w:trPr>
          <w:jc w:val="center"/>
        </w:trPr>
        <w:tc>
          <w:tcPr>
            <w:tcW w:w="1454" w:type="dxa"/>
            <w:vAlign w:val="bottom"/>
          </w:tcPr>
          <w:p w14:paraId="71BDA4B7" w14:textId="77777777" w:rsidR="001B2ECC" w:rsidRPr="000C386B" w:rsidRDefault="001B2ECC" w:rsidP="001B2ECC">
            <w:pPr>
              <w:jc w:val="center"/>
              <w:rPr>
                <w:b/>
                <w:bCs/>
              </w:rPr>
            </w:pPr>
            <w:r w:rsidRPr="000C386B">
              <w:rPr>
                <w:rFonts w:cs="Arial"/>
                <w:b/>
                <w:bCs/>
                <w:sz w:val="20"/>
                <w:szCs w:val="20"/>
              </w:rPr>
              <w:t>GB</w:t>
            </w:r>
          </w:p>
        </w:tc>
        <w:tc>
          <w:tcPr>
            <w:tcW w:w="1454" w:type="dxa"/>
            <w:vAlign w:val="bottom"/>
          </w:tcPr>
          <w:p w14:paraId="4427C4F3" w14:textId="008D0AC1" w:rsidR="001B2ECC" w:rsidRPr="00BB7176" w:rsidRDefault="001B2ECC" w:rsidP="001B2ECC">
            <w:pPr>
              <w:jc w:val="center"/>
              <w:rPr>
                <w:rFonts w:cs="Arial"/>
                <w:sz w:val="20"/>
                <w:szCs w:val="20"/>
              </w:rPr>
            </w:pPr>
            <w:r>
              <w:rPr>
                <w:rFonts w:ascii="Arial" w:hAnsi="Arial" w:cs="Arial"/>
                <w:sz w:val="20"/>
                <w:szCs w:val="20"/>
              </w:rPr>
              <w:t>14</w:t>
            </w:r>
          </w:p>
        </w:tc>
        <w:tc>
          <w:tcPr>
            <w:tcW w:w="1454" w:type="dxa"/>
            <w:vAlign w:val="bottom"/>
          </w:tcPr>
          <w:p w14:paraId="789D9337" w14:textId="3DE24DBA" w:rsidR="001B2ECC" w:rsidRPr="00BB7176" w:rsidRDefault="001B2ECC" w:rsidP="001B2ECC">
            <w:pPr>
              <w:jc w:val="center"/>
              <w:rPr>
                <w:rFonts w:cs="Arial"/>
                <w:sz w:val="20"/>
                <w:szCs w:val="20"/>
              </w:rPr>
            </w:pPr>
            <w:r>
              <w:rPr>
                <w:rFonts w:ascii="Arial" w:hAnsi="Arial" w:cs="Arial"/>
                <w:sz w:val="20"/>
                <w:szCs w:val="20"/>
              </w:rPr>
              <w:t>5</w:t>
            </w:r>
          </w:p>
        </w:tc>
        <w:tc>
          <w:tcPr>
            <w:tcW w:w="1454" w:type="dxa"/>
            <w:vAlign w:val="bottom"/>
          </w:tcPr>
          <w:p w14:paraId="406FD6C7" w14:textId="2DCCBA94" w:rsidR="001B2ECC" w:rsidRPr="00BB7176" w:rsidRDefault="001B2ECC" w:rsidP="001B2ECC">
            <w:pPr>
              <w:jc w:val="center"/>
              <w:rPr>
                <w:rFonts w:cs="Arial"/>
                <w:sz w:val="20"/>
                <w:szCs w:val="20"/>
              </w:rPr>
            </w:pPr>
            <w:r>
              <w:rPr>
                <w:rFonts w:ascii="Arial" w:hAnsi="Arial" w:cs="Arial"/>
                <w:sz w:val="20"/>
                <w:szCs w:val="20"/>
              </w:rPr>
              <w:t>18</w:t>
            </w:r>
          </w:p>
        </w:tc>
        <w:tc>
          <w:tcPr>
            <w:tcW w:w="1454" w:type="dxa"/>
            <w:vAlign w:val="bottom"/>
          </w:tcPr>
          <w:p w14:paraId="1364E9C2" w14:textId="6D78700F" w:rsidR="001B2ECC" w:rsidRPr="00BB7176" w:rsidRDefault="001B2ECC" w:rsidP="001B2ECC">
            <w:pPr>
              <w:jc w:val="center"/>
              <w:rPr>
                <w:rFonts w:cs="Arial"/>
                <w:sz w:val="20"/>
                <w:szCs w:val="20"/>
              </w:rPr>
            </w:pPr>
            <w:r w:rsidRPr="00BB7176">
              <w:rPr>
                <w:rFonts w:cs="Arial"/>
                <w:sz w:val="20"/>
                <w:szCs w:val="20"/>
              </w:rPr>
              <w:t>37</w:t>
            </w:r>
          </w:p>
        </w:tc>
        <w:tc>
          <w:tcPr>
            <w:tcW w:w="1455" w:type="dxa"/>
            <w:vAlign w:val="bottom"/>
          </w:tcPr>
          <w:p w14:paraId="216872E6" w14:textId="77777777" w:rsidR="001B2ECC" w:rsidRPr="00BB7176" w:rsidRDefault="001B2ECC" w:rsidP="001B2ECC">
            <w:pPr>
              <w:jc w:val="center"/>
            </w:pPr>
            <w:r w:rsidRPr="00BB7176">
              <w:rPr>
                <w:rFonts w:cs="Arial"/>
                <w:sz w:val="20"/>
                <w:szCs w:val="20"/>
              </w:rPr>
              <w:t>6.05%</w:t>
            </w:r>
          </w:p>
        </w:tc>
      </w:tr>
      <w:tr w:rsidR="001B2ECC" w14:paraId="19C1DCFB" w14:textId="77777777" w:rsidTr="00ED2E3D">
        <w:trPr>
          <w:jc w:val="center"/>
        </w:trPr>
        <w:tc>
          <w:tcPr>
            <w:tcW w:w="1454" w:type="dxa"/>
            <w:vAlign w:val="bottom"/>
          </w:tcPr>
          <w:p w14:paraId="60FA82DC" w14:textId="77777777" w:rsidR="001B2ECC" w:rsidRPr="000C386B" w:rsidRDefault="001B2ECC" w:rsidP="001B2ECC">
            <w:pPr>
              <w:jc w:val="center"/>
              <w:rPr>
                <w:b/>
                <w:bCs/>
              </w:rPr>
            </w:pPr>
            <w:r w:rsidRPr="000C386B">
              <w:rPr>
                <w:rFonts w:cs="Arial"/>
                <w:b/>
                <w:bCs/>
                <w:sz w:val="20"/>
                <w:szCs w:val="20"/>
              </w:rPr>
              <w:t>VMC</w:t>
            </w:r>
          </w:p>
        </w:tc>
        <w:tc>
          <w:tcPr>
            <w:tcW w:w="1454" w:type="dxa"/>
            <w:vAlign w:val="bottom"/>
          </w:tcPr>
          <w:p w14:paraId="15D7F58D" w14:textId="221E9530" w:rsidR="001B2ECC" w:rsidRPr="00BB7176" w:rsidRDefault="001B2ECC" w:rsidP="001B2ECC">
            <w:pPr>
              <w:jc w:val="center"/>
              <w:rPr>
                <w:rFonts w:cs="Arial"/>
                <w:sz w:val="20"/>
                <w:szCs w:val="20"/>
              </w:rPr>
            </w:pPr>
            <w:r>
              <w:rPr>
                <w:rFonts w:ascii="Arial" w:hAnsi="Arial" w:cs="Arial"/>
                <w:sz w:val="20"/>
                <w:szCs w:val="20"/>
              </w:rPr>
              <w:t>16</w:t>
            </w:r>
          </w:p>
        </w:tc>
        <w:tc>
          <w:tcPr>
            <w:tcW w:w="1454" w:type="dxa"/>
            <w:vAlign w:val="bottom"/>
          </w:tcPr>
          <w:p w14:paraId="58DAA44F" w14:textId="0A4E089D" w:rsidR="001B2ECC" w:rsidRPr="00BB7176" w:rsidRDefault="001B2ECC" w:rsidP="001B2ECC">
            <w:pPr>
              <w:jc w:val="center"/>
              <w:rPr>
                <w:rFonts w:cs="Arial"/>
                <w:sz w:val="20"/>
                <w:szCs w:val="20"/>
              </w:rPr>
            </w:pPr>
            <w:r>
              <w:rPr>
                <w:rFonts w:ascii="Arial" w:hAnsi="Arial" w:cs="Arial"/>
                <w:sz w:val="20"/>
                <w:szCs w:val="20"/>
              </w:rPr>
              <w:t>5</w:t>
            </w:r>
          </w:p>
        </w:tc>
        <w:tc>
          <w:tcPr>
            <w:tcW w:w="1454" w:type="dxa"/>
            <w:vAlign w:val="bottom"/>
          </w:tcPr>
          <w:p w14:paraId="203828BC" w14:textId="6EAD2F05" w:rsidR="001B2ECC" w:rsidRPr="00BB7176" w:rsidRDefault="001B2ECC" w:rsidP="001B2ECC">
            <w:pPr>
              <w:jc w:val="center"/>
              <w:rPr>
                <w:rFonts w:cs="Arial"/>
                <w:sz w:val="20"/>
                <w:szCs w:val="20"/>
              </w:rPr>
            </w:pPr>
            <w:r>
              <w:rPr>
                <w:rFonts w:ascii="Arial" w:hAnsi="Arial" w:cs="Arial"/>
                <w:sz w:val="20"/>
                <w:szCs w:val="20"/>
              </w:rPr>
              <w:t>8</w:t>
            </w:r>
          </w:p>
        </w:tc>
        <w:tc>
          <w:tcPr>
            <w:tcW w:w="1454" w:type="dxa"/>
            <w:vAlign w:val="bottom"/>
          </w:tcPr>
          <w:p w14:paraId="057B27DD" w14:textId="0D8AC870" w:rsidR="001B2ECC" w:rsidRPr="00BB7176" w:rsidRDefault="001B2ECC" w:rsidP="001B2ECC">
            <w:pPr>
              <w:jc w:val="center"/>
              <w:rPr>
                <w:rFonts w:cs="Arial"/>
                <w:sz w:val="20"/>
                <w:szCs w:val="20"/>
              </w:rPr>
            </w:pPr>
            <w:r w:rsidRPr="00BB7176">
              <w:rPr>
                <w:rFonts w:cs="Arial"/>
                <w:sz w:val="20"/>
                <w:szCs w:val="20"/>
              </w:rPr>
              <w:t>29</w:t>
            </w:r>
          </w:p>
        </w:tc>
        <w:tc>
          <w:tcPr>
            <w:tcW w:w="1455" w:type="dxa"/>
            <w:vAlign w:val="bottom"/>
          </w:tcPr>
          <w:p w14:paraId="60B4F903" w14:textId="77777777" w:rsidR="001B2ECC" w:rsidRPr="00BB7176" w:rsidRDefault="001B2ECC" w:rsidP="001B2ECC">
            <w:pPr>
              <w:jc w:val="center"/>
            </w:pPr>
            <w:r w:rsidRPr="00BB7176">
              <w:rPr>
                <w:rFonts w:cs="Arial"/>
                <w:sz w:val="20"/>
                <w:szCs w:val="20"/>
              </w:rPr>
              <w:t>4.74%</w:t>
            </w:r>
          </w:p>
        </w:tc>
      </w:tr>
      <w:tr w:rsidR="001B2ECC" w14:paraId="7A1A1848" w14:textId="77777777" w:rsidTr="00ED2E3D">
        <w:trPr>
          <w:jc w:val="center"/>
        </w:trPr>
        <w:tc>
          <w:tcPr>
            <w:tcW w:w="1454" w:type="dxa"/>
            <w:vAlign w:val="bottom"/>
          </w:tcPr>
          <w:p w14:paraId="3D474A72" w14:textId="77777777" w:rsidR="001B2ECC" w:rsidRPr="000C386B" w:rsidRDefault="001B2ECC" w:rsidP="001B2ECC">
            <w:pPr>
              <w:jc w:val="center"/>
              <w:rPr>
                <w:b/>
                <w:bCs/>
              </w:rPr>
            </w:pPr>
            <w:r w:rsidRPr="000C386B">
              <w:rPr>
                <w:rFonts w:cs="Arial"/>
                <w:b/>
                <w:bCs/>
                <w:sz w:val="20"/>
                <w:szCs w:val="20"/>
              </w:rPr>
              <w:t>RR5</w:t>
            </w:r>
          </w:p>
        </w:tc>
        <w:tc>
          <w:tcPr>
            <w:tcW w:w="1454" w:type="dxa"/>
            <w:vAlign w:val="bottom"/>
          </w:tcPr>
          <w:p w14:paraId="444CED8E" w14:textId="04F1D7AB" w:rsidR="001B2ECC" w:rsidRPr="00BB7176" w:rsidRDefault="001B2ECC" w:rsidP="001B2ECC">
            <w:pPr>
              <w:jc w:val="center"/>
              <w:rPr>
                <w:rFonts w:cs="Arial"/>
                <w:sz w:val="20"/>
                <w:szCs w:val="20"/>
              </w:rPr>
            </w:pPr>
            <w:r>
              <w:rPr>
                <w:rFonts w:ascii="Arial" w:hAnsi="Arial" w:cs="Arial"/>
                <w:sz w:val="20"/>
                <w:szCs w:val="20"/>
              </w:rPr>
              <w:t>21</w:t>
            </w:r>
          </w:p>
        </w:tc>
        <w:tc>
          <w:tcPr>
            <w:tcW w:w="1454" w:type="dxa"/>
            <w:vAlign w:val="bottom"/>
          </w:tcPr>
          <w:p w14:paraId="4126C2CB" w14:textId="6EAB7FA6" w:rsidR="001B2ECC" w:rsidRPr="00BB7176" w:rsidRDefault="001B2ECC" w:rsidP="001B2ECC">
            <w:pPr>
              <w:jc w:val="center"/>
              <w:rPr>
                <w:rFonts w:cs="Arial"/>
                <w:sz w:val="20"/>
                <w:szCs w:val="20"/>
              </w:rPr>
            </w:pPr>
          </w:p>
        </w:tc>
        <w:tc>
          <w:tcPr>
            <w:tcW w:w="1454" w:type="dxa"/>
            <w:vAlign w:val="bottom"/>
          </w:tcPr>
          <w:p w14:paraId="234A0C7F" w14:textId="4CEB708B" w:rsidR="001B2ECC" w:rsidRPr="00BB7176" w:rsidRDefault="001B2ECC" w:rsidP="001B2ECC">
            <w:pPr>
              <w:jc w:val="center"/>
              <w:rPr>
                <w:rFonts w:cs="Arial"/>
                <w:sz w:val="20"/>
                <w:szCs w:val="20"/>
              </w:rPr>
            </w:pPr>
            <w:r>
              <w:rPr>
                <w:rFonts w:ascii="Arial" w:hAnsi="Arial" w:cs="Arial"/>
                <w:sz w:val="20"/>
                <w:szCs w:val="20"/>
              </w:rPr>
              <w:t>3</w:t>
            </w:r>
          </w:p>
        </w:tc>
        <w:tc>
          <w:tcPr>
            <w:tcW w:w="1454" w:type="dxa"/>
            <w:vAlign w:val="bottom"/>
          </w:tcPr>
          <w:p w14:paraId="72FFD945" w14:textId="6353DCCA" w:rsidR="001B2ECC" w:rsidRPr="00BB7176" w:rsidRDefault="001B2ECC" w:rsidP="001B2ECC">
            <w:pPr>
              <w:jc w:val="center"/>
              <w:rPr>
                <w:rFonts w:cs="Arial"/>
                <w:sz w:val="20"/>
                <w:szCs w:val="20"/>
              </w:rPr>
            </w:pPr>
            <w:r w:rsidRPr="00BB7176">
              <w:rPr>
                <w:rFonts w:cs="Arial"/>
                <w:sz w:val="20"/>
                <w:szCs w:val="20"/>
              </w:rPr>
              <w:t>24</w:t>
            </w:r>
          </w:p>
        </w:tc>
        <w:tc>
          <w:tcPr>
            <w:tcW w:w="1455" w:type="dxa"/>
            <w:vAlign w:val="bottom"/>
          </w:tcPr>
          <w:p w14:paraId="5C3F0E72" w14:textId="77777777" w:rsidR="001B2ECC" w:rsidRPr="00BB7176" w:rsidRDefault="001B2ECC" w:rsidP="001B2ECC">
            <w:pPr>
              <w:jc w:val="center"/>
            </w:pPr>
            <w:r w:rsidRPr="00BB7176">
              <w:rPr>
                <w:rFonts w:cs="Arial"/>
                <w:sz w:val="20"/>
                <w:szCs w:val="20"/>
              </w:rPr>
              <w:t>3.92%</w:t>
            </w:r>
          </w:p>
        </w:tc>
      </w:tr>
      <w:tr w:rsidR="001B2ECC" w14:paraId="3BE56F7D" w14:textId="77777777" w:rsidTr="00ED2E3D">
        <w:trPr>
          <w:jc w:val="center"/>
        </w:trPr>
        <w:tc>
          <w:tcPr>
            <w:tcW w:w="1454" w:type="dxa"/>
            <w:vAlign w:val="bottom"/>
          </w:tcPr>
          <w:p w14:paraId="56227F6F" w14:textId="77777777" w:rsidR="001B2ECC" w:rsidRPr="000C386B" w:rsidRDefault="001B2ECC" w:rsidP="001B2ECC">
            <w:pPr>
              <w:jc w:val="center"/>
              <w:rPr>
                <w:b/>
                <w:bCs/>
              </w:rPr>
            </w:pPr>
            <w:r w:rsidRPr="000C386B">
              <w:rPr>
                <w:rFonts w:cs="Arial"/>
                <w:b/>
                <w:bCs/>
                <w:sz w:val="20"/>
                <w:szCs w:val="20"/>
              </w:rPr>
              <w:t>RR3</w:t>
            </w:r>
          </w:p>
        </w:tc>
        <w:tc>
          <w:tcPr>
            <w:tcW w:w="1454" w:type="dxa"/>
            <w:vAlign w:val="bottom"/>
          </w:tcPr>
          <w:p w14:paraId="315F9B1F" w14:textId="7F4971E3" w:rsidR="001B2ECC" w:rsidRPr="00BB7176" w:rsidRDefault="001B2ECC" w:rsidP="001B2ECC">
            <w:pPr>
              <w:jc w:val="center"/>
              <w:rPr>
                <w:rFonts w:cs="Arial"/>
                <w:sz w:val="20"/>
                <w:szCs w:val="20"/>
              </w:rPr>
            </w:pPr>
            <w:r>
              <w:rPr>
                <w:rFonts w:ascii="Arial" w:hAnsi="Arial" w:cs="Arial"/>
                <w:sz w:val="20"/>
                <w:szCs w:val="20"/>
              </w:rPr>
              <w:t>14</w:t>
            </w:r>
          </w:p>
        </w:tc>
        <w:tc>
          <w:tcPr>
            <w:tcW w:w="1454" w:type="dxa"/>
            <w:vAlign w:val="bottom"/>
          </w:tcPr>
          <w:p w14:paraId="5AEDDD66" w14:textId="68C6E582" w:rsidR="001B2ECC" w:rsidRPr="00BB7176" w:rsidRDefault="001B2ECC" w:rsidP="001B2ECC">
            <w:pPr>
              <w:jc w:val="center"/>
              <w:rPr>
                <w:rFonts w:cs="Arial"/>
                <w:sz w:val="20"/>
                <w:szCs w:val="20"/>
              </w:rPr>
            </w:pPr>
          </w:p>
        </w:tc>
        <w:tc>
          <w:tcPr>
            <w:tcW w:w="1454" w:type="dxa"/>
            <w:vAlign w:val="bottom"/>
          </w:tcPr>
          <w:p w14:paraId="069F7440" w14:textId="3FA31929" w:rsidR="001B2ECC" w:rsidRPr="00BB7176" w:rsidRDefault="001B2ECC" w:rsidP="001B2ECC">
            <w:pPr>
              <w:jc w:val="center"/>
              <w:rPr>
                <w:rFonts w:cs="Arial"/>
                <w:sz w:val="20"/>
                <w:szCs w:val="20"/>
              </w:rPr>
            </w:pPr>
            <w:r>
              <w:rPr>
                <w:rFonts w:ascii="Arial" w:hAnsi="Arial" w:cs="Arial"/>
                <w:sz w:val="20"/>
                <w:szCs w:val="20"/>
              </w:rPr>
              <w:t>5</w:t>
            </w:r>
          </w:p>
        </w:tc>
        <w:tc>
          <w:tcPr>
            <w:tcW w:w="1454" w:type="dxa"/>
            <w:vAlign w:val="bottom"/>
          </w:tcPr>
          <w:p w14:paraId="047FBA24" w14:textId="03704F50" w:rsidR="001B2ECC" w:rsidRPr="00BB7176" w:rsidRDefault="001B2ECC" w:rsidP="001B2ECC">
            <w:pPr>
              <w:jc w:val="center"/>
              <w:rPr>
                <w:rFonts w:cs="Arial"/>
                <w:sz w:val="20"/>
                <w:szCs w:val="20"/>
              </w:rPr>
            </w:pPr>
            <w:r w:rsidRPr="00BB7176">
              <w:rPr>
                <w:rFonts w:cs="Arial"/>
                <w:sz w:val="20"/>
                <w:szCs w:val="20"/>
              </w:rPr>
              <w:t>19</w:t>
            </w:r>
          </w:p>
        </w:tc>
        <w:tc>
          <w:tcPr>
            <w:tcW w:w="1455" w:type="dxa"/>
            <w:vAlign w:val="bottom"/>
          </w:tcPr>
          <w:p w14:paraId="3314B160" w14:textId="77777777" w:rsidR="001B2ECC" w:rsidRPr="00BB7176" w:rsidRDefault="001B2ECC" w:rsidP="001B2ECC">
            <w:pPr>
              <w:jc w:val="center"/>
            </w:pPr>
            <w:r w:rsidRPr="00BB7176">
              <w:rPr>
                <w:rFonts w:cs="Arial"/>
                <w:sz w:val="20"/>
                <w:szCs w:val="20"/>
              </w:rPr>
              <w:t>3.10%</w:t>
            </w:r>
          </w:p>
        </w:tc>
      </w:tr>
      <w:tr w:rsidR="001B2ECC" w14:paraId="0B9ECAD3" w14:textId="77777777" w:rsidTr="00ED2E3D">
        <w:trPr>
          <w:jc w:val="center"/>
        </w:trPr>
        <w:tc>
          <w:tcPr>
            <w:tcW w:w="1454" w:type="dxa"/>
            <w:vAlign w:val="bottom"/>
          </w:tcPr>
          <w:p w14:paraId="6BF2F06A" w14:textId="77777777" w:rsidR="001B2ECC" w:rsidRPr="000C386B" w:rsidRDefault="001B2ECC" w:rsidP="001B2ECC">
            <w:pPr>
              <w:jc w:val="center"/>
              <w:rPr>
                <w:b/>
                <w:bCs/>
              </w:rPr>
            </w:pPr>
            <w:r w:rsidRPr="000C386B">
              <w:rPr>
                <w:rFonts w:cs="Arial"/>
                <w:b/>
                <w:bCs/>
                <w:sz w:val="20"/>
                <w:szCs w:val="20"/>
              </w:rPr>
              <w:t>GW</w:t>
            </w:r>
          </w:p>
        </w:tc>
        <w:tc>
          <w:tcPr>
            <w:tcW w:w="1454" w:type="dxa"/>
            <w:vAlign w:val="bottom"/>
          </w:tcPr>
          <w:p w14:paraId="076E0045" w14:textId="6F0911EF" w:rsidR="001B2ECC" w:rsidRPr="00BB7176" w:rsidRDefault="001B2ECC" w:rsidP="001B2ECC">
            <w:pPr>
              <w:jc w:val="center"/>
              <w:rPr>
                <w:rFonts w:cs="Arial"/>
                <w:sz w:val="20"/>
                <w:szCs w:val="20"/>
              </w:rPr>
            </w:pPr>
            <w:r>
              <w:rPr>
                <w:rFonts w:ascii="Arial" w:hAnsi="Arial" w:cs="Arial"/>
                <w:sz w:val="20"/>
                <w:szCs w:val="20"/>
              </w:rPr>
              <w:t>12</w:t>
            </w:r>
          </w:p>
        </w:tc>
        <w:tc>
          <w:tcPr>
            <w:tcW w:w="1454" w:type="dxa"/>
            <w:vAlign w:val="bottom"/>
          </w:tcPr>
          <w:p w14:paraId="1B06612D" w14:textId="4A01E812" w:rsidR="001B2ECC" w:rsidRPr="00BB7176" w:rsidRDefault="001B2ECC" w:rsidP="001B2ECC">
            <w:pPr>
              <w:jc w:val="center"/>
              <w:rPr>
                <w:rFonts w:cs="Arial"/>
                <w:sz w:val="20"/>
                <w:szCs w:val="20"/>
              </w:rPr>
            </w:pPr>
            <w:r>
              <w:rPr>
                <w:rFonts w:ascii="Arial" w:hAnsi="Arial" w:cs="Arial"/>
                <w:sz w:val="20"/>
                <w:szCs w:val="20"/>
              </w:rPr>
              <w:t>1</w:t>
            </w:r>
          </w:p>
        </w:tc>
        <w:tc>
          <w:tcPr>
            <w:tcW w:w="1454" w:type="dxa"/>
            <w:vAlign w:val="bottom"/>
          </w:tcPr>
          <w:p w14:paraId="15DCB3A7" w14:textId="4630EA42" w:rsidR="001B2ECC" w:rsidRPr="00BB7176" w:rsidRDefault="001B2ECC" w:rsidP="001B2ECC">
            <w:pPr>
              <w:jc w:val="center"/>
              <w:rPr>
                <w:rFonts w:cs="Arial"/>
                <w:sz w:val="20"/>
                <w:szCs w:val="20"/>
              </w:rPr>
            </w:pPr>
            <w:r>
              <w:rPr>
                <w:rFonts w:ascii="Arial" w:hAnsi="Arial" w:cs="Arial"/>
                <w:sz w:val="20"/>
                <w:szCs w:val="20"/>
              </w:rPr>
              <w:t>4</w:t>
            </w:r>
          </w:p>
        </w:tc>
        <w:tc>
          <w:tcPr>
            <w:tcW w:w="1454" w:type="dxa"/>
            <w:vAlign w:val="bottom"/>
          </w:tcPr>
          <w:p w14:paraId="61FE02D3" w14:textId="5F45DA83" w:rsidR="001B2ECC" w:rsidRPr="00BB7176" w:rsidRDefault="001B2ECC" w:rsidP="001B2ECC">
            <w:pPr>
              <w:jc w:val="center"/>
              <w:rPr>
                <w:rFonts w:cs="Arial"/>
                <w:sz w:val="20"/>
                <w:szCs w:val="20"/>
              </w:rPr>
            </w:pPr>
            <w:r w:rsidRPr="00BB7176">
              <w:rPr>
                <w:rFonts w:cs="Arial"/>
                <w:sz w:val="20"/>
                <w:szCs w:val="20"/>
              </w:rPr>
              <w:t>17</w:t>
            </w:r>
          </w:p>
        </w:tc>
        <w:tc>
          <w:tcPr>
            <w:tcW w:w="1455" w:type="dxa"/>
            <w:vAlign w:val="bottom"/>
          </w:tcPr>
          <w:p w14:paraId="68BF3D47" w14:textId="77777777" w:rsidR="001B2ECC" w:rsidRPr="00BB7176" w:rsidRDefault="001B2ECC" w:rsidP="001B2ECC">
            <w:pPr>
              <w:jc w:val="center"/>
            </w:pPr>
            <w:r w:rsidRPr="00BB7176">
              <w:rPr>
                <w:rFonts w:cs="Arial"/>
                <w:sz w:val="20"/>
                <w:szCs w:val="20"/>
              </w:rPr>
              <w:t>2.78%</w:t>
            </w:r>
          </w:p>
        </w:tc>
      </w:tr>
      <w:tr w:rsidR="001B2ECC" w14:paraId="489BDE2E" w14:textId="77777777" w:rsidTr="00ED2E3D">
        <w:trPr>
          <w:jc w:val="center"/>
        </w:trPr>
        <w:tc>
          <w:tcPr>
            <w:tcW w:w="1454" w:type="dxa"/>
            <w:vAlign w:val="bottom"/>
          </w:tcPr>
          <w:p w14:paraId="65D7C80F" w14:textId="77777777" w:rsidR="001B2ECC" w:rsidRPr="000C386B" w:rsidRDefault="001B2ECC" w:rsidP="001B2ECC">
            <w:pPr>
              <w:jc w:val="center"/>
              <w:rPr>
                <w:b/>
                <w:bCs/>
              </w:rPr>
            </w:pPr>
            <w:r w:rsidRPr="000C386B">
              <w:rPr>
                <w:rFonts w:cs="Arial"/>
                <w:b/>
                <w:bCs/>
                <w:sz w:val="20"/>
                <w:szCs w:val="20"/>
              </w:rPr>
              <w:t>I2</w:t>
            </w:r>
          </w:p>
        </w:tc>
        <w:tc>
          <w:tcPr>
            <w:tcW w:w="1454" w:type="dxa"/>
            <w:vAlign w:val="bottom"/>
          </w:tcPr>
          <w:p w14:paraId="7D1DAA4D" w14:textId="5D97B925" w:rsidR="001B2ECC" w:rsidRPr="00BB7176" w:rsidRDefault="001B2ECC" w:rsidP="001B2ECC">
            <w:pPr>
              <w:jc w:val="center"/>
              <w:rPr>
                <w:rFonts w:cs="Arial"/>
                <w:sz w:val="20"/>
                <w:szCs w:val="20"/>
              </w:rPr>
            </w:pPr>
            <w:r>
              <w:rPr>
                <w:rFonts w:ascii="Arial" w:hAnsi="Arial" w:cs="Arial"/>
                <w:sz w:val="20"/>
                <w:szCs w:val="20"/>
              </w:rPr>
              <w:t>8</w:t>
            </w:r>
          </w:p>
        </w:tc>
        <w:tc>
          <w:tcPr>
            <w:tcW w:w="1454" w:type="dxa"/>
            <w:vAlign w:val="bottom"/>
          </w:tcPr>
          <w:p w14:paraId="2E89E720" w14:textId="20A6B21C" w:rsidR="001B2ECC" w:rsidRPr="00BB7176" w:rsidRDefault="001B2ECC" w:rsidP="001B2ECC">
            <w:pPr>
              <w:jc w:val="center"/>
              <w:rPr>
                <w:rFonts w:cs="Arial"/>
                <w:sz w:val="20"/>
                <w:szCs w:val="20"/>
              </w:rPr>
            </w:pPr>
            <w:r>
              <w:rPr>
                <w:rFonts w:ascii="Arial" w:hAnsi="Arial" w:cs="Arial"/>
                <w:sz w:val="20"/>
                <w:szCs w:val="20"/>
              </w:rPr>
              <w:t>4</w:t>
            </w:r>
          </w:p>
        </w:tc>
        <w:tc>
          <w:tcPr>
            <w:tcW w:w="1454" w:type="dxa"/>
            <w:vAlign w:val="bottom"/>
          </w:tcPr>
          <w:p w14:paraId="1E2AFB22" w14:textId="360BA4B4" w:rsidR="001B2ECC" w:rsidRPr="00BB7176" w:rsidRDefault="001B2ECC" w:rsidP="001B2ECC">
            <w:pPr>
              <w:jc w:val="center"/>
              <w:rPr>
                <w:rFonts w:cs="Arial"/>
                <w:sz w:val="20"/>
                <w:szCs w:val="20"/>
              </w:rPr>
            </w:pPr>
            <w:r>
              <w:rPr>
                <w:rFonts w:ascii="Arial" w:hAnsi="Arial" w:cs="Arial"/>
                <w:sz w:val="20"/>
                <w:szCs w:val="20"/>
              </w:rPr>
              <w:t>3</w:t>
            </w:r>
          </w:p>
        </w:tc>
        <w:tc>
          <w:tcPr>
            <w:tcW w:w="1454" w:type="dxa"/>
            <w:vAlign w:val="bottom"/>
          </w:tcPr>
          <w:p w14:paraId="2222C543" w14:textId="56628F94" w:rsidR="001B2ECC" w:rsidRPr="00BB7176" w:rsidRDefault="001B2ECC" w:rsidP="001B2ECC">
            <w:pPr>
              <w:jc w:val="center"/>
              <w:rPr>
                <w:rFonts w:cs="Arial"/>
                <w:sz w:val="20"/>
                <w:szCs w:val="20"/>
              </w:rPr>
            </w:pPr>
            <w:r w:rsidRPr="00BB7176">
              <w:rPr>
                <w:rFonts w:cs="Arial"/>
                <w:sz w:val="20"/>
                <w:szCs w:val="20"/>
              </w:rPr>
              <w:t>15</w:t>
            </w:r>
          </w:p>
        </w:tc>
        <w:tc>
          <w:tcPr>
            <w:tcW w:w="1455" w:type="dxa"/>
            <w:vAlign w:val="bottom"/>
          </w:tcPr>
          <w:p w14:paraId="2AF65EB4" w14:textId="77777777" w:rsidR="001B2ECC" w:rsidRPr="00BB7176" w:rsidRDefault="001B2ECC" w:rsidP="001B2ECC">
            <w:pPr>
              <w:jc w:val="center"/>
            </w:pPr>
            <w:r w:rsidRPr="00BB7176">
              <w:rPr>
                <w:rFonts w:cs="Arial"/>
                <w:sz w:val="20"/>
                <w:szCs w:val="20"/>
              </w:rPr>
              <w:t>2.45%</w:t>
            </w:r>
          </w:p>
        </w:tc>
      </w:tr>
      <w:tr w:rsidR="001B2ECC" w14:paraId="1D01D0A9" w14:textId="77777777" w:rsidTr="00ED2E3D">
        <w:trPr>
          <w:jc w:val="center"/>
        </w:trPr>
        <w:tc>
          <w:tcPr>
            <w:tcW w:w="1454" w:type="dxa"/>
            <w:vAlign w:val="bottom"/>
          </w:tcPr>
          <w:p w14:paraId="1EA76CCB" w14:textId="77777777" w:rsidR="001B2ECC" w:rsidRPr="000C386B" w:rsidRDefault="001B2ECC" w:rsidP="001B2ECC">
            <w:pPr>
              <w:jc w:val="center"/>
              <w:rPr>
                <w:b/>
                <w:bCs/>
              </w:rPr>
            </w:pPr>
            <w:r w:rsidRPr="000C386B">
              <w:rPr>
                <w:rFonts w:cs="Arial"/>
                <w:b/>
                <w:bCs/>
                <w:sz w:val="20"/>
                <w:szCs w:val="20"/>
              </w:rPr>
              <w:t>GB1</w:t>
            </w:r>
          </w:p>
        </w:tc>
        <w:tc>
          <w:tcPr>
            <w:tcW w:w="1454" w:type="dxa"/>
            <w:vAlign w:val="bottom"/>
          </w:tcPr>
          <w:p w14:paraId="3CFC40F3" w14:textId="77BA60A2" w:rsidR="001B2ECC" w:rsidRPr="00BB7176" w:rsidRDefault="001B2ECC" w:rsidP="001B2ECC">
            <w:pPr>
              <w:jc w:val="center"/>
              <w:rPr>
                <w:rFonts w:cs="Arial"/>
                <w:sz w:val="20"/>
                <w:szCs w:val="20"/>
              </w:rPr>
            </w:pPr>
            <w:r>
              <w:rPr>
                <w:rFonts w:ascii="Arial" w:hAnsi="Arial" w:cs="Arial"/>
                <w:sz w:val="20"/>
                <w:szCs w:val="20"/>
              </w:rPr>
              <w:t>3</w:t>
            </w:r>
          </w:p>
        </w:tc>
        <w:tc>
          <w:tcPr>
            <w:tcW w:w="1454" w:type="dxa"/>
            <w:vAlign w:val="bottom"/>
          </w:tcPr>
          <w:p w14:paraId="052E27E2" w14:textId="2DE4C8E8" w:rsidR="001B2ECC" w:rsidRPr="00BB7176" w:rsidRDefault="001B2ECC" w:rsidP="001B2ECC">
            <w:pPr>
              <w:jc w:val="center"/>
              <w:rPr>
                <w:rFonts w:cs="Arial"/>
                <w:sz w:val="20"/>
                <w:szCs w:val="20"/>
              </w:rPr>
            </w:pPr>
          </w:p>
        </w:tc>
        <w:tc>
          <w:tcPr>
            <w:tcW w:w="1454" w:type="dxa"/>
            <w:vAlign w:val="bottom"/>
          </w:tcPr>
          <w:p w14:paraId="638527D2" w14:textId="441A1F7C" w:rsidR="001B2ECC" w:rsidRPr="00BB7176" w:rsidRDefault="001B2ECC" w:rsidP="001B2ECC">
            <w:pPr>
              <w:jc w:val="center"/>
              <w:rPr>
                <w:rFonts w:cs="Arial"/>
                <w:sz w:val="20"/>
                <w:szCs w:val="20"/>
              </w:rPr>
            </w:pPr>
            <w:r>
              <w:rPr>
                <w:rFonts w:ascii="Arial" w:hAnsi="Arial" w:cs="Arial"/>
                <w:sz w:val="20"/>
                <w:szCs w:val="20"/>
              </w:rPr>
              <w:t>3</w:t>
            </w:r>
          </w:p>
        </w:tc>
        <w:tc>
          <w:tcPr>
            <w:tcW w:w="1454" w:type="dxa"/>
            <w:vAlign w:val="bottom"/>
          </w:tcPr>
          <w:p w14:paraId="180578AC" w14:textId="69A46A0B" w:rsidR="001B2ECC" w:rsidRPr="00BB7176" w:rsidRDefault="001B2ECC" w:rsidP="001B2ECC">
            <w:pPr>
              <w:jc w:val="center"/>
              <w:rPr>
                <w:rFonts w:cs="Arial"/>
                <w:sz w:val="20"/>
                <w:szCs w:val="20"/>
              </w:rPr>
            </w:pPr>
            <w:r w:rsidRPr="00BB7176">
              <w:rPr>
                <w:rFonts w:cs="Arial"/>
                <w:sz w:val="20"/>
                <w:szCs w:val="20"/>
              </w:rPr>
              <w:t>6</w:t>
            </w:r>
          </w:p>
        </w:tc>
        <w:tc>
          <w:tcPr>
            <w:tcW w:w="1455" w:type="dxa"/>
            <w:vAlign w:val="bottom"/>
          </w:tcPr>
          <w:p w14:paraId="24F3188E" w14:textId="77777777" w:rsidR="001B2ECC" w:rsidRPr="00BB7176" w:rsidRDefault="001B2ECC" w:rsidP="001B2ECC">
            <w:pPr>
              <w:jc w:val="center"/>
            </w:pPr>
            <w:r w:rsidRPr="00BB7176">
              <w:rPr>
                <w:rFonts w:cs="Arial"/>
                <w:sz w:val="20"/>
                <w:szCs w:val="20"/>
              </w:rPr>
              <w:t>0.98%</w:t>
            </w:r>
          </w:p>
        </w:tc>
      </w:tr>
      <w:tr w:rsidR="001B2ECC" w14:paraId="21EF3D97" w14:textId="77777777" w:rsidTr="00ED2E3D">
        <w:trPr>
          <w:jc w:val="center"/>
        </w:trPr>
        <w:tc>
          <w:tcPr>
            <w:tcW w:w="1454" w:type="dxa"/>
            <w:vAlign w:val="bottom"/>
          </w:tcPr>
          <w:p w14:paraId="69AEAB66" w14:textId="77777777" w:rsidR="001B2ECC" w:rsidRPr="000C386B" w:rsidRDefault="001B2ECC" w:rsidP="001B2ECC">
            <w:pPr>
              <w:jc w:val="center"/>
              <w:rPr>
                <w:b/>
                <w:bCs/>
              </w:rPr>
            </w:pPr>
            <w:r w:rsidRPr="000C386B">
              <w:rPr>
                <w:rFonts w:cs="Arial"/>
                <w:b/>
                <w:bCs/>
                <w:sz w:val="20"/>
                <w:szCs w:val="20"/>
              </w:rPr>
              <w:t>I1</w:t>
            </w:r>
          </w:p>
        </w:tc>
        <w:tc>
          <w:tcPr>
            <w:tcW w:w="1454" w:type="dxa"/>
            <w:vAlign w:val="bottom"/>
          </w:tcPr>
          <w:p w14:paraId="5C85FA8B" w14:textId="3936C2F8" w:rsidR="001B2ECC" w:rsidRPr="00BB7176" w:rsidRDefault="001B2ECC" w:rsidP="001B2ECC">
            <w:pPr>
              <w:jc w:val="center"/>
              <w:rPr>
                <w:rFonts w:cs="Arial"/>
                <w:sz w:val="20"/>
                <w:szCs w:val="20"/>
              </w:rPr>
            </w:pPr>
            <w:r>
              <w:rPr>
                <w:rFonts w:ascii="Arial" w:hAnsi="Arial" w:cs="Arial"/>
                <w:sz w:val="20"/>
                <w:szCs w:val="20"/>
              </w:rPr>
              <w:t> </w:t>
            </w:r>
          </w:p>
        </w:tc>
        <w:tc>
          <w:tcPr>
            <w:tcW w:w="1454" w:type="dxa"/>
            <w:vAlign w:val="bottom"/>
          </w:tcPr>
          <w:p w14:paraId="04D80DB4" w14:textId="04E285A8" w:rsidR="001B2ECC" w:rsidRPr="00BB7176" w:rsidRDefault="001B2ECC" w:rsidP="001B2ECC">
            <w:pPr>
              <w:jc w:val="center"/>
              <w:rPr>
                <w:rFonts w:cs="Arial"/>
                <w:sz w:val="20"/>
                <w:szCs w:val="20"/>
              </w:rPr>
            </w:pPr>
            <w:r>
              <w:rPr>
                <w:rFonts w:ascii="Arial" w:hAnsi="Arial" w:cs="Arial"/>
                <w:sz w:val="20"/>
                <w:szCs w:val="20"/>
              </w:rPr>
              <w:t>2</w:t>
            </w:r>
          </w:p>
        </w:tc>
        <w:tc>
          <w:tcPr>
            <w:tcW w:w="1454" w:type="dxa"/>
            <w:vAlign w:val="bottom"/>
          </w:tcPr>
          <w:p w14:paraId="39F2707E" w14:textId="012E1E2E" w:rsidR="001B2ECC" w:rsidRPr="00BB7176" w:rsidRDefault="001B2ECC" w:rsidP="001B2ECC">
            <w:pPr>
              <w:jc w:val="center"/>
              <w:rPr>
                <w:rFonts w:cs="Arial"/>
                <w:sz w:val="20"/>
                <w:szCs w:val="20"/>
              </w:rPr>
            </w:pPr>
            <w:r>
              <w:rPr>
                <w:rFonts w:ascii="Arial" w:hAnsi="Arial" w:cs="Arial"/>
                <w:sz w:val="20"/>
                <w:szCs w:val="20"/>
              </w:rPr>
              <w:t>4</w:t>
            </w:r>
          </w:p>
        </w:tc>
        <w:tc>
          <w:tcPr>
            <w:tcW w:w="1454" w:type="dxa"/>
            <w:vAlign w:val="bottom"/>
          </w:tcPr>
          <w:p w14:paraId="6CF2573F" w14:textId="44BA4B95" w:rsidR="001B2ECC" w:rsidRPr="00BB7176" w:rsidRDefault="001B2ECC" w:rsidP="001B2ECC">
            <w:pPr>
              <w:jc w:val="center"/>
              <w:rPr>
                <w:rFonts w:cs="Arial"/>
                <w:sz w:val="20"/>
                <w:szCs w:val="20"/>
              </w:rPr>
            </w:pPr>
            <w:r w:rsidRPr="00BB7176">
              <w:rPr>
                <w:rFonts w:cs="Arial"/>
                <w:sz w:val="20"/>
                <w:szCs w:val="20"/>
              </w:rPr>
              <w:t>6</w:t>
            </w:r>
          </w:p>
        </w:tc>
        <w:tc>
          <w:tcPr>
            <w:tcW w:w="1455" w:type="dxa"/>
            <w:vAlign w:val="bottom"/>
          </w:tcPr>
          <w:p w14:paraId="2809FB02" w14:textId="77777777" w:rsidR="001B2ECC" w:rsidRPr="00BB7176" w:rsidRDefault="001B2ECC" w:rsidP="001B2ECC">
            <w:pPr>
              <w:jc w:val="center"/>
            </w:pPr>
            <w:r w:rsidRPr="00BB7176">
              <w:rPr>
                <w:rFonts w:cs="Arial"/>
                <w:sz w:val="20"/>
                <w:szCs w:val="20"/>
              </w:rPr>
              <w:t>0.98%</w:t>
            </w:r>
          </w:p>
        </w:tc>
      </w:tr>
      <w:tr w:rsidR="001B2ECC" w14:paraId="69BC2ADE" w14:textId="77777777" w:rsidTr="00ED2E3D">
        <w:trPr>
          <w:jc w:val="center"/>
        </w:trPr>
        <w:tc>
          <w:tcPr>
            <w:tcW w:w="1454" w:type="dxa"/>
            <w:vAlign w:val="bottom"/>
          </w:tcPr>
          <w:p w14:paraId="721A96BB" w14:textId="77777777" w:rsidR="001B2ECC" w:rsidRPr="000C386B" w:rsidRDefault="001B2ECC" w:rsidP="001B2ECC">
            <w:pPr>
              <w:jc w:val="center"/>
              <w:rPr>
                <w:b/>
                <w:bCs/>
              </w:rPr>
            </w:pPr>
            <w:r w:rsidRPr="000C386B">
              <w:rPr>
                <w:rFonts w:cs="Arial"/>
                <w:b/>
                <w:bCs/>
                <w:sz w:val="20"/>
                <w:szCs w:val="20"/>
              </w:rPr>
              <w:t>BP</w:t>
            </w:r>
          </w:p>
        </w:tc>
        <w:tc>
          <w:tcPr>
            <w:tcW w:w="1454" w:type="dxa"/>
            <w:vAlign w:val="bottom"/>
          </w:tcPr>
          <w:p w14:paraId="3B32B647" w14:textId="61487B43" w:rsidR="001B2ECC" w:rsidRPr="00BB7176" w:rsidRDefault="001B2ECC" w:rsidP="001B2ECC">
            <w:pPr>
              <w:jc w:val="center"/>
              <w:rPr>
                <w:rFonts w:cs="Arial"/>
                <w:sz w:val="20"/>
                <w:szCs w:val="20"/>
              </w:rPr>
            </w:pPr>
            <w:r>
              <w:rPr>
                <w:rFonts w:ascii="Arial" w:hAnsi="Arial" w:cs="Arial"/>
                <w:sz w:val="20"/>
                <w:szCs w:val="20"/>
              </w:rPr>
              <w:t>1</w:t>
            </w:r>
          </w:p>
        </w:tc>
        <w:tc>
          <w:tcPr>
            <w:tcW w:w="1454" w:type="dxa"/>
            <w:vAlign w:val="bottom"/>
          </w:tcPr>
          <w:p w14:paraId="10EB6678" w14:textId="5C18B709" w:rsidR="001B2ECC" w:rsidRPr="00BB7176" w:rsidRDefault="001B2ECC" w:rsidP="001B2ECC">
            <w:pPr>
              <w:jc w:val="center"/>
              <w:rPr>
                <w:rFonts w:cs="Arial"/>
                <w:sz w:val="20"/>
                <w:szCs w:val="20"/>
              </w:rPr>
            </w:pPr>
          </w:p>
        </w:tc>
        <w:tc>
          <w:tcPr>
            <w:tcW w:w="1454" w:type="dxa"/>
            <w:vAlign w:val="bottom"/>
          </w:tcPr>
          <w:p w14:paraId="0B9E9783" w14:textId="34ADAE28" w:rsidR="001B2ECC" w:rsidRPr="00BB7176" w:rsidRDefault="001B2ECC" w:rsidP="001B2ECC">
            <w:pPr>
              <w:jc w:val="center"/>
              <w:rPr>
                <w:rFonts w:cs="Arial"/>
                <w:sz w:val="20"/>
                <w:szCs w:val="20"/>
              </w:rPr>
            </w:pPr>
            <w:r>
              <w:rPr>
                <w:rFonts w:ascii="Arial" w:hAnsi="Arial" w:cs="Arial"/>
                <w:sz w:val="20"/>
                <w:szCs w:val="20"/>
              </w:rPr>
              <w:t>2</w:t>
            </w:r>
          </w:p>
        </w:tc>
        <w:tc>
          <w:tcPr>
            <w:tcW w:w="1454" w:type="dxa"/>
            <w:vAlign w:val="bottom"/>
          </w:tcPr>
          <w:p w14:paraId="01156BB7" w14:textId="6875D5F9" w:rsidR="001B2ECC" w:rsidRPr="00BB7176" w:rsidRDefault="001B2ECC" w:rsidP="001B2ECC">
            <w:pPr>
              <w:jc w:val="center"/>
              <w:rPr>
                <w:rFonts w:cs="Arial"/>
                <w:sz w:val="20"/>
                <w:szCs w:val="20"/>
              </w:rPr>
            </w:pPr>
            <w:r w:rsidRPr="00BB7176">
              <w:rPr>
                <w:rFonts w:cs="Arial"/>
                <w:sz w:val="20"/>
                <w:szCs w:val="20"/>
              </w:rPr>
              <w:t>3</w:t>
            </w:r>
          </w:p>
        </w:tc>
        <w:tc>
          <w:tcPr>
            <w:tcW w:w="1455" w:type="dxa"/>
            <w:vAlign w:val="bottom"/>
          </w:tcPr>
          <w:p w14:paraId="2DD1EEA0" w14:textId="77777777" w:rsidR="001B2ECC" w:rsidRPr="00BB7176" w:rsidRDefault="001B2ECC" w:rsidP="001B2ECC">
            <w:pPr>
              <w:jc w:val="center"/>
            </w:pPr>
            <w:r w:rsidRPr="00BB7176">
              <w:rPr>
                <w:rFonts w:cs="Arial"/>
                <w:sz w:val="20"/>
                <w:szCs w:val="20"/>
              </w:rPr>
              <w:t>0.49%</w:t>
            </w:r>
          </w:p>
        </w:tc>
      </w:tr>
      <w:tr w:rsidR="001B2ECC" w14:paraId="49DCFC07" w14:textId="77777777" w:rsidTr="00ED2E3D">
        <w:trPr>
          <w:jc w:val="center"/>
        </w:trPr>
        <w:tc>
          <w:tcPr>
            <w:tcW w:w="1454" w:type="dxa"/>
            <w:vAlign w:val="bottom"/>
          </w:tcPr>
          <w:p w14:paraId="72C57B92" w14:textId="77777777" w:rsidR="001B2ECC" w:rsidRPr="000C386B" w:rsidRDefault="001B2ECC" w:rsidP="001B2ECC">
            <w:pPr>
              <w:jc w:val="center"/>
              <w:rPr>
                <w:b/>
                <w:bCs/>
              </w:rPr>
            </w:pPr>
            <w:r w:rsidRPr="000C386B">
              <w:rPr>
                <w:rFonts w:cs="Arial"/>
                <w:b/>
                <w:bCs/>
                <w:sz w:val="20"/>
                <w:szCs w:val="20"/>
              </w:rPr>
              <w:t>VRC</w:t>
            </w:r>
          </w:p>
        </w:tc>
        <w:tc>
          <w:tcPr>
            <w:tcW w:w="1454" w:type="dxa"/>
            <w:vAlign w:val="bottom"/>
          </w:tcPr>
          <w:p w14:paraId="1CBD6AC8" w14:textId="05FEFA4B" w:rsidR="001B2ECC" w:rsidRPr="00BB7176" w:rsidRDefault="001B2ECC" w:rsidP="001B2ECC">
            <w:pPr>
              <w:jc w:val="center"/>
              <w:rPr>
                <w:rFonts w:cs="Arial"/>
                <w:sz w:val="20"/>
                <w:szCs w:val="20"/>
              </w:rPr>
            </w:pPr>
            <w:r>
              <w:rPr>
                <w:rFonts w:ascii="Arial" w:hAnsi="Arial" w:cs="Arial"/>
                <w:sz w:val="20"/>
                <w:szCs w:val="20"/>
              </w:rPr>
              <w:t> </w:t>
            </w:r>
          </w:p>
        </w:tc>
        <w:tc>
          <w:tcPr>
            <w:tcW w:w="1454" w:type="dxa"/>
            <w:vAlign w:val="bottom"/>
          </w:tcPr>
          <w:p w14:paraId="52F935B0" w14:textId="4EC2A83F" w:rsidR="001B2ECC" w:rsidRPr="00BB7176" w:rsidRDefault="001B2ECC" w:rsidP="001B2ECC">
            <w:pPr>
              <w:jc w:val="center"/>
              <w:rPr>
                <w:rFonts w:cs="Arial"/>
                <w:sz w:val="20"/>
                <w:szCs w:val="20"/>
              </w:rPr>
            </w:pPr>
          </w:p>
        </w:tc>
        <w:tc>
          <w:tcPr>
            <w:tcW w:w="1454" w:type="dxa"/>
            <w:vAlign w:val="bottom"/>
          </w:tcPr>
          <w:p w14:paraId="4EB8BCE4" w14:textId="21D4C6D8" w:rsidR="001B2ECC" w:rsidRPr="00BB7176" w:rsidRDefault="001B2ECC" w:rsidP="001B2ECC">
            <w:pPr>
              <w:jc w:val="center"/>
              <w:rPr>
                <w:rFonts w:cs="Arial"/>
                <w:sz w:val="20"/>
                <w:szCs w:val="20"/>
              </w:rPr>
            </w:pPr>
            <w:r>
              <w:rPr>
                <w:rFonts w:ascii="Arial" w:hAnsi="Arial" w:cs="Arial"/>
                <w:sz w:val="20"/>
                <w:szCs w:val="20"/>
              </w:rPr>
              <w:t>3</w:t>
            </w:r>
          </w:p>
        </w:tc>
        <w:tc>
          <w:tcPr>
            <w:tcW w:w="1454" w:type="dxa"/>
            <w:vAlign w:val="bottom"/>
          </w:tcPr>
          <w:p w14:paraId="1D228E5F" w14:textId="66546522" w:rsidR="001B2ECC" w:rsidRPr="00BB7176" w:rsidRDefault="001B2ECC" w:rsidP="001B2ECC">
            <w:pPr>
              <w:jc w:val="center"/>
              <w:rPr>
                <w:rFonts w:cs="Arial"/>
                <w:sz w:val="20"/>
                <w:szCs w:val="20"/>
              </w:rPr>
            </w:pPr>
            <w:r w:rsidRPr="00BB7176">
              <w:rPr>
                <w:rFonts w:cs="Arial"/>
                <w:sz w:val="20"/>
                <w:szCs w:val="20"/>
              </w:rPr>
              <w:t>3</w:t>
            </w:r>
          </w:p>
        </w:tc>
        <w:tc>
          <w:tcPr>
            <w:tcW w:w="1455" w:type="dxa"/>
            <w:vAlign w:val="bottom"/>
          </w:tcPr>
          <w:p w14:paraId="51BC8F94" w14:textId="77777777" w:rsidR="001B2ECC" w:rsidRPr="00BB7176" w:rsidRDefault="001B2ECC" w:rsidP="001B2ECC">
            <w:pPr>
              <w:jc w:val="center"/>
            </w:pPr>
            <w:r w:rsidRPr="00BB7176">
              <w:rPr>
                <w:rFonts w:cs="Arial"/>
                <w:sz w:val="20"/>
                <w:szCs w:val="20"/>
              </w:rPr>
              <w:t>0.49%</w:t>
            </w:r>
          </w:p>
        </w:tc>
      </w:tr>
      <w:tr w:rsidR="001B2ECC" w14:paraId="1B68B81F" w14:textId="77777777" w:rsidTr="00ED2E3D">
        <w:trPr>
          <w:jc w:val="center"/>
        </w:trPr>
        <w:tc>
          <w:tcPr>
            <w:tcW w:w="1454" w:type="dxa"/>
            <w:shd w:val="clear" w:color="auto" w:fill="041E42" w:themeFill="accent6"/>
            <w:vAlign w:val="bottom"/>
          </w:tcPr>
          <w:p w14:paraId="53C4C4CD" w14:textId="21E00205" w:rsidR="001B2ECC" w:rsidRPr="000C386B" w:rsidRDefault="001B2ECC" w:rsidP="001B2ECC">
            <w:pPr>
              <w:jc w:val="center"/>
              <w:rPr>
                <w:rFonts w:asciiTheme="majorHAnsi" w:hAnsiTheme="majorHAnsi"/>
              </w:rPr>
            </w:pPr>
            <w:r w:rsidRPr="000C386B">
              <w:rPr>
                <w:rFonts w:asciiTheme="majorHAnsi" w:hAnsiTheme="majorHAnsi" w:cs="Arial"/>
                <w:color w:val="FFFFFF" w:themeColor="background1"/>
                <w:sz w:val="20"/>
                <w:szCs w:val="20"/>
              </w:rPr>
              <w:t>Grand Total</w:t>
            </w:r>
          </w:p>
        </w:tc>
        <w:tc>
          <w:tcPr>
            <w:tcW w:w="1454" w:type="dxa"/>
            <w:vAlign w:val="bottom"/>
          </w:tcPr>
          <w:p w14:paraId="371BBBFF" w14:textId="7ADD1DC3" w:rsidR="001B2ECC" w:rsidRPr="000C386B" w:rsidRDefault="001B2ECC" w:rsidP="001B2ECC">
            <w:pPr>
              <w:jc w:val="center"/>
              <w:rPr>
                <w:rFonts w:cs="Arial"/>
                <w:b/>
                <w:bCs/>
                <w:sz w:val="20"/>
                <w:szCs w:val="20"/>
              </w:rPr>
            </w:pPr>
            <w:r>
              <w:rPr>
                <w:rFonts w:ascii="Arial" w:hAnsi="Arial" w:cs="Arial"/>
                <w:sz w:val="20"/>
                <w:szCs w:val="20"/>
              </w:rPr>
              <w:t>486</w:t>
            </w:r>
          </w:p>
        </w:tc>
        <w:tc>
          <w:tcPr>
            <w:tcW w:w="1454" w:type="dxa"/>
            <w:vAlign w:val="bottom"/>
          </w:tcPr>
          <w:p w14:paraId="740EA693" w14:textId="0FCBC51E" w:rsidR="001B2ECC" w:rsidRPr="000C386B" w:rsidRDefault="001B2ECC" w:rsidP="001B2ECC">
            <w:pPr>
              <w:jc w:val="center"/>
              <w:rPr>
                <w:rFonts w:cs="Arial"/>
                <w:b/>
                <w:bCs/>
                <w:sz w:val="20"/>
                <w:szCs w:val="20"/>
              </w:rPr>
            </w:pPr>
            <w:r>
              <w:rPr>
                <w:rFonts w:ascii="Arial" w:hAnsi="Arial" w:cs="Arial"/>
                <w:sz w:val="20"/>
                <w:szCs w:val="20"/>
              </w:rPr>
              <w:t>46</w:t>
            </w:r>
          </w:p>
        </w:tc>
        <w:tc>
          <w:tcPr>
            <w:tcW w:w="1454" w:type="dxa"/>
            <w:vAlign w:val="bottom"/>
          </w:tcPr>
          <w:p w14:paraId="26DAD058" w14:textId="1755CC5E" w:rsidR="001B2ECC" w:rsidRPr="000C386B" w:rsidRDefault="001B2ECC" w:rsidP="001B2ECC">
            <w:pPr>
              <w:jc w:val="center"/>
              <w:rPr>
                <w:rFonts w:cs="Arial"/>
                <w:b/>
                <w:bCs/>
                <w:sz w:val="20"/>
                <w:szCs w:val="20"/>
              </w:rPr>
            </w:pPr>
            <w:r>
              <w:rPr>
                <w:rFonts w:ascii="Arial" w:hAnsi="Arial" w:cs="Arial"/>
                <w:sz w:val="20"/>
                <w:szCs w:val="20"/>
              </w:rPr>
              <w:t>80</w:t>
            </w:r>
          </w:p>
        </w:tc>
        <w:tc>
          <w:tcPr>
            <w:tcW w:w="1454" w:type="dxa"/>
            <w:vAlign w:val="bottom"/>
          </w:tcPr>
          <w:p w14:paraId="74A16733" w14:textId="57E9291B" w:rsidR="001B2ECC" w:rsidRPr="000C386B" w:rsidRDefault="001B2ECC" w:rsidP="001B2ECC">
            <w:pPr>
              <w:jc w:val="center"/>
              <w:rPr>
                <w:rFonts w:cs="Arial"/>
                <w:b/>
                <w:bCs/>
                <w:sz w:val="20"/>
                <w:szCs w:val="20"/>
              </w:rPr>
            </w:pPr>
            <w:r w:rsidRPr="000C386B">
              <w:rPr>
                <w:rFonts w:cs="Arial"/>
                <w:b/>
                <w:bCs/>
                <w:sz w:val="20"/>
                <w:szCs w:val="20"/>
              </w:rPr>
              <w:t>612</w:t>
            </w:r>
          </w:p>
        </w:tc>
        <w:tc>
          <w:tcPr>
            <w:tcW w:w="1455" w:type="dxa"/>
            <w:vAlign w:val="bottom"/>
          </w:tcPr>
          <w:p w14:paraId="3EBEBC6C" w14:textId="295673B3" w:rsidR="001B2ECC" w:rsidRPr="000C386B" w:rsidRDefault="001B2ECC" w:rsidP="001B2ECC">
            <w:pPr>
              <w:jc w:val="center"/>
              <w:rPr>
                <w:b/>
                <w:bCs/>
              </w:rPr>
            </w:pPr>
            <w:r w:rsidRPr="000C386B">
              <w:rPr>
                <w:rFonts w:cs="Arial"/>
                <w:b/>
                <w:bCs/>
                <w:sz w:val="20"/>
                <w:szCs w:val="20"/>
              </w:rPr>
              <w:t>100.00%</w:t>
            </w:r>
          </w:p>
        </w:tc>
      </w:tr>
    </w:tbl>
    <w:p w14:paraId="7CB81B6D" w14:textId="77777777" w:rsidR="00BB11F5" w:rsidRDefault="00BB11F5" w:rsidP="00BB11F5">
      <w:pPr>
        <w:pStyle w:val="Heading4"/>
      </w:pPr>
      <w:r>
        <w:t>Mixed-Use Potential in GB and GB1 Zones:</w:t>
      </w:r>
    </w:p>
    <w:p w14:paraId="44D3CDA4" w14:textId="4C35A67F" w:rsidR="00A47977" w:rsidRDefault="00BB11F5" w:rsidP="00B528C9">
      <w:pPr>
        <w:pStyle w:val="ListParagraph"/>
        <w:jc w:val="both"/>
      </w:pPr>
      <w:r>
        <w:t>The GB and GB1 zones already support a mix of commercial and multi-family housing, with some parcels containing both apartments and commercial uses. This reflects an inherent flexibility in these zones, making them prime candidates for allowing multi-family housing by right. Given the existing infrastructure and the commercial nature of these zones, further amendments to permit mixed-use developments with multi-family components would be a logical progression.</w:t>
      </w:r>
    </w:p>
    <w:p w14:paraId="77136DB2" w14:textId="77777777" w:rsidR="00326642" w:rsidRPr="00326642" w:rsidRDefault="00326642" w:rsidP="00326642">
      <w:pPr>
        <w:pStyle w:val="Heading4"/>
        <w:rPr>
          <w:rFonts w:eastAsia="Times New Roman"/>
        </w:rPr>
      </w:pPr>
      <w:r w:rsidRPr="00326642">
        <w:rPr>
          <w:rFonts w:eastAsia="Times New Roman"/>
        </w:rPr>
        <w:t>Potential in VMC and VRC Zones:</w:t>
      </w:r>
    </w:p>
    <w:p w14:paraId="3F643ED3" w14:textId="77777777" w:rsidR="00326642" w:rsidRPr="00B528C9" w:rsidRDefault="00326642" w:rsidP="00B528C9">
      <w:pPr>
        <w:pStyle w:val="ListParagraph"/>
        <w:jc w:val="both"/>
      </w:pPr>
      <w:r w:rsidRPr="00B528C9">
        <w:t>Village Main Commercial (VMC) and Village Rural Commercial (VRC) zones are notable for their smaller parcel sizes and existing commercial uses. While these zones currently host fewer multi-family developments, their commercial nature and village character make them excellent candidates for mixed-use zoning amendments that integrate housing with local services. Allowing duplexes, triplexes, and apartments by right in these zones would contribute to a vibrant village atmosphere while addressing housing needs.</w:t>
      </w:r>
    </w:p>
    <w:p w14:paraId="7CF17E39" w14:textId="42375D2D" w:rsidR="00326642" w:rsidRPr="00B528C9" w:rsidRDefault="00326642" w:rsidP="00B528C9">
      <w:pPr>
        <w:pStyle w:val="ListParagraph"/>
        <w:jc w:val="both"/>
      </w:pPr>
      <w:r w:rsidRPr="00B528C9">
        <w:t>The VMC zone, with its average parcel size around 12,500 square feet, is particularly suited for higher-density residential or mixed-use development, encouraging walkable, community-centered growth. Similarly, the VRC zone, with parcel sizes averaging around 88,000 square feet, offers flexibility for larger developments or village-scale multi-family housing projects.</w:t>
      </w:r>
    </w:p>
    <w:p w14:paraId="2C4B2DFE" w14:textId="77777777" w:rsidR="00AC67DD" w:rsidRPr="00AC67DD" w:rsidRDefault="00AC67DD" w:rsidP="00AC67DD">
      <w:pPr>
        <w:pStyle w:val="Heading3"/>
        <w:rPr>
          <w:bCs/>
        </w:rPr>
      </w:pPr>
      <w:r w:rsidRPr="00AC67DD">
        <w:rPr>
          <w:bCs/>
        </w:rPr>
        <w:t>. Parcel Size and Dimensional Requirements for Multi-Family Housing:</w:t>
      </w:r>
    </w:p>
    <w:p w14:paraId="5B3035EC" w14:textId="77777777" w:rsidR="00AC67DD" w:rsidRPr="00AC67DD" w:rsidRDefault="00AC67DD" w:rsidP="00AC67DD">
      <w:pPr>
        <w:pStyle w:val="Heading4"/>
      </w:pPr>
      <w:r w:rsidRPr="00AC67DD">
        <w:t>Challenges and Opportunities in Rural Residential Zones (RR2, RR3, RR5):</w:t>
      </w:r>
    </w:p>
    <w:p w14:paraId="639197F7" w14:textId="77777777" w:rsidR="00AC67DD" w:rsidRPr="00AC67DD" w:rsidRDefault="00AC67DD" w:rsidP="00B528C9">
      <w:pPr>
        <w:pStyle w:val="ListParagraph"/>
        <w:jc w:val="both"/>
      </w:pPr>
      <w:r w:rsidRPr="00AC67DD">
        <w:t>The RR2, RR3, and RR5 zones present an interesting case for multi-family housing development. The large parcels, typically ranging from 200,000 to over 400,000 square feet, are vastly underutilized under the current zoning, which limits these areas to single-family homes. Introducing multi-family housing by right, either through cluster developments or allowing duplexes and triplexes, could help alleviate the housing shortage while preserving open space.</w:t>
      </w:r>
    </w:p>
    <w:p w14:paraId="637FDAE3" w14:textId="77777777" w:rsidR="00AC67DD" w:rsidRPr="00AC67DD" w:rsidRDefault="00AC67DD" w:rsidP="00AC67DD">
      <w:pPr>
        <w:pStyle w:val="Heading4"/>
      </w:pPr>
      <w:r w:rsidRPr="00AC67DD">
        <w:lastRenderedPageBreak/>
        <w:t>R20 Zone as a High-Potential Area for Growth:</w:t>
      </w:r>
    </w:p>
    <w:p w14:paraId="5422A020" w14:textId="735895F5" w:rsidR="00AC67DD" w:rsidRDefault="00AC67DD" w:rsidP="00B528C9">
      <w:pPr>
        <w:pStyle w:val="ListParagraph"/>
        <w:jc w:val="both"/>
      </w:pPr>
      <w:r w:rsidRPr="00AC67DD">
        <w:t xml:space="preserve">The R20 zone, with an average parcel size of about 27,000 square feet, is densely </w:t>
      </w:r>
      <w:r>
        <w:t>settled</w:t>
      </w:r>
      <w:r w:rsidRPr="00AC67DD">
        <w:t xml:space="preserve"> with single-family homes but could be a prime candidate for multi-family housing. Rezoning the R20 zone to allow 2-5 family dwellings by right would enable higher-density residential development in areas where infrastructure is already in place, making it easier to support such growth without significant strain on town resources.</w:t>
      </w:r>
    </w:p>
    <w:p w14:paraId="0214C326" w14:textId="5B22659B" w:rsidR="00ED2E3D" w:rsidRDefault="00ED2E3D" w:rsidP="00ED2E3D">
      <w:pPr>
        <w:pStyle w:val="Caption"/>
        <w:keepNext/>
        <w:jc w:val="center"/>
      </w:pPr>
      <w:r>
        <w:t xml:space="preserve">Table </w:t>
      </w:r>
      <w:fldSimple w:instr=" SEQ Table \* ARABIC ">
        <w:r>
          <w:rPr>
            <w:noProof/>
          </w:rPr>
          <w:t>2</w:t>
        </w:r>
      </w:fldSimple>
      <w:r>
        <w:t xml:space="preserve"> Average Lot Size (SF) </w:t>
      </w:r>
      <w:proofErr w:type="gramStart"/>
      <w:r>
        <w:t xml:space="preserve">of </w:t>
      </w:r>
      <w:r w:rsidRPr="002E6450">
        <w:t xml:space="preserve"> Multi</w:t>
      </w:r>
      <w:proofErr w:type="gramEnd"/>
      <w:r w:rsidRPr="002E6450">
        <w:t xml:space="preserve">-Family Housing </w:t>
      </w:r>
      <w:r>
        <w:t>by</w:t>
      </w:r>
      <w:r w:rsidR="00545B5C">
        <w:t xml:space="preserve"> Use and</w:t>
      </w:r>
      <w:r>
        <w:t xml:space="preserve"> Zoning District</w:t>
      </w:r>
    </w:p>
    <w:tbl>
      <w:tblPr>
        <w:tblStyle w:val="TableGrid"/>
        <w:tblW w:w="0" w:type="auto"/>
        <w:jc w:val="center"/>
        <w:tblLayout w:type="fixed"/>
        <w:tblLook w:val="04A0" w:firstRow="1" w:lastRow="0" w:firstColumn="1" w:lastColumn="0" w:noHBand="0" w:noVBand="1"/>
      </w:tblPr>
      <w:tblGrid>
        <w:gridCol w:w="1454"/>
        <w:gridCol w:w="1454"/>
        <w:gridCol w:w="1454"/>
        <w:gridCol w:w="1454"/>
        <w:gridCol w:w="1454"/>
      </w:tblGrid>
      <w:tr w:rsidR="00AD78DC" w14:paraId="3D3D20FF" w14:textId="47A8B16B" w:rsidTr="00AC6D79">
        <w:trPr>
          <w:jc w:val="center"/>
        </w:trPr>
        <w:tc>
          <w:tcPr>
            <w:tcW w:w="1454" w:type="dxa"/>
            <w:shd w:val="clear" w:color="auto" w:fill="041E42" w:themeFill="accent6"/>
            <w:vAlign w:val="bottom"/>
          </w:tcPr>
          <w:p w14:paraId="5E660651" w14:textId="77777777" w:rsidR="00AD78DC" w:rsidRPr="00BB7176" w:rsidRDefault="00AD78DC" w:rsidP="00AD78DC">
            <w:pPr>
              <w:jc w:val="center"/>
              <w:rPr>
                <w:rFonts w:asciiTheme="majorHAnsi" w:hAnsiTheme="majorHAnsi"/>
                <w:color w:val="FFFFFF" w:themeColor="background1"/>
              </w:rPr>
            </w:pPr>
            <w:r w:rsidRPr="00BB7176">
              <w:rPr>
                <w:rFonts w:asciiTheme="majorHAnsi" w:hAnsiTheme="majorHAnsi" w:cs="Arial"/>
                <w:color w:val="FFFFFF" w:themeColor="background1"/>
                <w:sz w:val="20"/>
                <w:szCs w:val="20"/>
              </w:rPr>
              <w:t>Zoning District</w:t>
            </w:r>
          </w:p>
        </w:tc>
        <w:tc>
          <w:tcPr>
            <w:tcW w:w="1454" w:type="dxa"/>
            <w:shd w:val="clear" w:color="auto" w:fill="041E42" w:themeFill="accent6"/>
            <w:vAlign w:val="bottom"/>
          </w:tcPr>
          <w:p w14:paraId="0B0D39A8" w14:textId="22FE25DD" w:rsidR="00AD78DC" w:rsidRPr="00BB7176" w:rsidRDefault="00AD78DC" w:rsidP="00AD78D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2-5 Family Dwelling Unit</w:t>
            </w:r>
          </w:p>
        </w:tc>
        <w:tc>
          <w:tcPr>
            <w:tcW w:w="1454" w:type="dxa"/>
            <w:shd w:val="clear" w:color="auto" w:fill="041E42" w:themeFill="accent6"/>
            <w:vAlign w:val="bottom"/>
          </w:tcPr>
          <w:p w14:paraId="1569888C" w14:textId="255E08BA" w:rsidR="00AD78DC" w:rsidRPr="00BB7176" w:rsidRDefault="00AD78DC" w:rsidP="00AD78D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6</w:t>
            </w:r>
            <w:r>
              <w:rPr>
                <w:rFonts w:asciiTheme="majorHAnsi" w:hAnsiTheme="majorHAnsi" w:cs="Arial"/>
                <w:color w:val="FFFFFF" w:themeColor="background1"/>
                <w:sz w:val="20"/>
                <w:szCs w:val="20"/>
              </w:rPr>
              <w:t xml:space="preserve"> or More</w:t>
            </w:r>
            <w:r w:rsidRPr="000B1E05">
              <w:rPr>
                <w:rFonts w:asciiTheme="majorHAnsi" w:hAnsiTheme="majorHAnsi" w:cs="Arial"/>
                <w:color w:val="FFFFFF" w:themeColor="background1"/>
                <w:sz w:val="20"/>
                <w:szCs w:val="20"/>
              </w:rPr>
              <w:t xml:space="preserve"> Dwelling Units</w:t>
            </w:r>
          </w:p>
        </w:tc>
        <w:tc>
          <w:tcPr>
            <w:tcW w:w="1454" w:type="dxa"/>
            <w:shd w:val="clear" w:color="auto" w:fill="041E42" w:themeFill="accent6"/>
            <w:vAlign w:val="bottom"/>
          </w:tcPr>
          <w:p w14:paraId="0CA82446" w14:textId="77777777" w:rsidR="00AD78DC" w:rsidRPr="00BB7176" w:rsidRDefault="00AD78DC" w:rsidP="00AD78DC">
            <w:pPr>
              <w:jc w:val="center"/>
              <w:rPr>
                <w:rFonts w:asciiTheme="majorHAnsi" w:hAnsiTheme="majorHAnsi" w:cs="Arial"/>
                <w:color w:val="FFFFFF" w:themeColor="background1"/>
                <w:sz w:val="20"/>
                <w:szCs w:val="20"/>
              </w:rPr>
            </w:pPr>
            <w:r w:rsidRPr="000B1E05">
              <w:rPr>
                <w:rFonts w:asciiTheme="majorHAnsi" w:hAnsiTheme="majorHAnsi" w:cs="Arial"/>
                <w:color w:val="FFFFFF" w:themeColor="background1"/>
                <w:sz w:val="20"/>
                <w:szCs w:val="20"/>
              </w:rPr>
              <w:t>Mixed-Use</w:t>
            </w:r>
          </w:p>
        </w:tc>
        <w:tc>
          <w:tcPr>
            <w:tcW w:w="1454" w:type="dxa"/>
            <w:shd w:val="clear" w:color="auto" w:fill="041E42" w:themeFill="accent6"/>
            <w:vAlign w:val="bottom"/>
          </w:tcPr>
          <w:p w14:paraId="2DAB39D4" w14:textId="60623107" w:rsidR="00AD78DC" w:rsidRPr="000B1E05" w:rsidRDefault="00AD78DC" w:rsidP="00AD78DC">
            <w:pPr>
              <w:jc w:val="center"/>
              <w:rPr>
                <w:rFonts w:asciiTheme="majorHAnsi" w:hAnsiTheme="majorHAnsi" w:cs="Arial"/>
                <w:color w:val="FFFFFF" w:themeColor="background1"/>
                <w:sz w:val="20"/>
                <w:szCs w:val="20"/>
              </w:rPr>
            </w:pPr>
            <w:r w:rsidRPr="00771A25">
              <w:rPr>
                <w:rFonts w:asciiTheme="majorHAnsi" w:hAnsiTheme="majorHAnsi" w:cs="Arial"/>
                <w:color w:val="FFFFFF" w:themeColor="background1"/>
                <w:sz w:val="20"/>
                <w:szCs w:val="20"/>
              </w:rPr>
              <w:t>Overall Average</w:t>
            </w:r>
          </w:p>
        </w:tc>
      </w:tr>
      <w:tr w:rsidR="00AD78DC" w14:paraId="5326C140" w14:textId="100BA588" w:rsidTr="00AC6D79">
        <w:trPr>
          <w:jc w:val="center"/>
        </w:trPr>
        <w:tc>
          <w:tcPr>
            <w:tcW w:w="1454" w:type="dxa"/>
            <w:vAlign w:val="bottom"/>
          </w:tcPr>
          <w:p w14:paraId="6D279F8A" w14:textId="203AB964" w:rsidR="00AD78DC" w:rsidRPr="00F66A82" w:rsidRDefault="00AD78DC" w:rsidP="00AD78DC">
            <w:pPr>
              <w:jc w:val="center"/>
              <w:rPr>
                <w:b/>
                <w:bCs/>
              </w:rPr>
            </w:pPr>
            <w:r w:rsidRPr="00F66A82">
              <w:rPr>
                <w:rFonts w:ascii="Arial" w:hAnsi="Arial" w:cs="Arial"/>
                <w:b/>
                <w:bCs/>
                <w:sz w:val="20"/>
                <w:szCs w:val="20"/>
              </w:rPr>
              <w:t>BP</w:t>
            </w:r>
          </w:p>
        </w:tc>
        <w:tc>
          <w:tcPr>
            <w:tcW w:w="1454" w:type="dxa"/>
            <w:vAlign w:val="bottom"/>
          </w:tcPr>
          <w:p w14:paraId="24206739" w14:textId="0E446D59" w:rsidR="00AD78DC" w:rsidRPr="00BB7176" w:rsidRDefault="00AD78DC" w:rsidP="00AD78DC">
            <w:pPr>
              <w:jc w:val="center"/>
              <w:rPr>
                <w:rFonts w:cs="Arial"/>
                <w:sz w:val="20"/>
                <w:szCs w:val="20"/>
              </w:rPr>
            </w:pPr>
            <w:r>
              <w:rPr>
                <w:rFonts w:ascii="Arial" w:hAnsi="Arial" w:cs="Arial"/>
                <w:sz w:val="20"/>
                <w:szCs w:val="20"/>
              </w:rPr>
              <w:t> </w:t>
            </w:r>
            <w:r w:rsidR="002E6F74">
              <w:rPr>
                <w:rFonts w:ascii="Arial" w:hAnsi="Arial" w:cs="Arial"/>
                <w:sz w:val="20"/>
                <w:szCs w:val="20"/>
              </w:rPr>
              <w:t>N/A</w:t>
            </w:r>
          </w:p>
        </w:tc>
        <w:tc>
          <w:tcPr>
            <w:tcW w:w="1454" w:type="dxa"/>
            <w:vAlign w:val="bottom"/>
          </w:tcPr>
          <w:p w14:paraId="0A24B360" w14:textId="033B8710" w:rsidR="00AD78DC" w:rsidRPr="00BB7176" w:rsidRDefault="002E6F74" w:rsidP="00AD78DC">
            <w:pPr>
              <w:jc w:val="center"/>
              <w:rPr>
                <w:rFonts w:cs="Arial"/>
                <w:sz w:val="20"/>
                <w:szCs w:val="20"/>
              </w:rPr>
            </w:pPr>
            <w:r>
              <w:rPr>
                <w:rFonts w:ascii="Arial" w:hAnsi="Arial" w:cs="Arial"/>
                <w:sz w:val="20"/>
                <w:szCs w:val="20"/>
              </w:rPr>
              <w:t>N/A</w:t>
            </w:r>
            <w:r w:rsidR="00AD78DC">
              <w:rPr>
                <w:rFonts w:ascii="Arial" w:hAnsi="Arial" w:cs="Arial"/>
                <w:sz w:val="20"/>
                <w:szCs w:val="20"/>
              </w:rPr>
              <w:t> </w:t>
            </w:r>
          </w:p>
        </w:tc>
        <w:tc>
          <w:tcPr>
            <w:tcW w:w="1454" w:type="dxa"/>
            <w:vAlign w:val="bottom"/>
          </w:tcPr>
          <w:p w14:paraId="3D023029" w14:textId="335341ED" w:rsidR="00AD78DC" w:rsidRPr="00BB7176" w:rsidRDefault="00AD78DC" w:rsidP="00AD78DC">
            <w:pPr>
              <w:jc w:val="center"/>
              <w:rPr>
                <w:rFonts w:cs="Arial"/>
                <w:sz w:val="20"/>
                <w:szCs w:val="20"/>
              </w:rPr>
            </w:pPr>
            <w:r>
              <w:rPr>
                <w:rFonts w:ascii="Arial" w:hAnsi="Arial" w:cs="Arial"/>
                <w:sz w:val="20"/>
                <w:szCs w:val="20"/>
              </w:rPr>
              <w:t>31,235</w:t>
            </w:r>
          </w:p>
        </w:tc>
        <w:tc>
          <w:tcPr>
            <w:tcW w:w="1454" w:type="dxa"/>
            <w:vAlign w:val="bottom"/>
          </w:tcPr>
          <w:p w14:paraId="29DA0F1A" w14:textId="69D75924"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31,235.00</w:t>
            </w:r>
          </w:p>
        </w:tc>
      </w:tr>
      <w:tr w:rsidR="00AD78DC" w14:paraId="056C7130" w14:textId="02F871F5" w:rsidTr="00AC6D79">
        <w:trPr>
          <w:jc w:val="center"/>
        </w:trPr>
        <w:tc>
          <w:tcPr>
            <w:tcW w:w="1454" w:type="dxa"/>
            <w:vAlign w:val="bottom"/>
          </w:tcPr>
          <w:p w14:paraId="10D0A4CC" w14:textId="4137B53F" w:rsidR="00AD78DC" w:rsidRPr="00F66A82" w:rsidRDefault="00AD78DC" w:rsidP="00AD78DC">
            <w:pPr>
              <w:jc w:val="center"/>
              <w:rPr>
                <w:b/>
                <w:bCs/>
              </w:rPr>
            </w:pPr>
            <w:r w:rsidRPr="00F66A82">
              <w:rPr>
                <w:rFonts w:ascii="Arial" w:hAnsi="Arial" w:cs="Arial"/>
                <w:b/>
                <w:bCs/>
                <w:sz w:val="20"/>
                <w:szCs w:val="20"/>
              </w:rPr>
              <w:t>GB</w:t>
            </w:r>
          </w:p>
        </w:tc>
        <w:tc>
          <w:tcPr>
            <w:tcW w:w="1454" w:type="dxa"/>
            <w:vAlign w:val="bottom"/>
          </w:tcPr>
          <w:p w14:paraId="2F4ED2D8" w14:textId="685F43B9" w:rsidR="00AD78DC" w:rsidRPr="00BB7176" w:rsidRDefault="00AD78DC" w:rsidP="00AD78DC">
            <w:pPr>
              <w:jc w:val="center"/>
              <w:rPr>
                <w:rFonts w:cs="Arial"/>
                <w:sz w:val="20"/>
                <w:szCs w:val="20"/>
              </w:rPr>
            </w:pPr>
            <w:r>
              <w:rPr>
                <w:rFonts w:ascii="Arial" w:hAnsi="Arial" w:cs="Arial"/>
                <w:sz w:val="20"/>
                <w:szCs w:val="20"/>
              </w:rPr>
              <w:t>18,814</w:t>
            </w:r>
          </w:p>
        </w:tc>
        <w:tc>
          <w:tcPr>
            <w:tcW w:w="1454" w:type="dxa"/>
            <w:vAlign w:val="bottom"/>
          </w:tcPr>
          <w:p w14:paraId="7DFB6CCD" w14:textId="483EA237" w:rsidR="00AD78DC" w:rsidRPr="00BB7176" w:rsidRDefault="00AD78DC" w:rsidP="00AD78DC">
            <w:pPr>
              <w:jc w:val="center"/>
              <w:rPr>
                <w:rFonts w:cs="Arial"/>
                <w:sz w:val="20"/>
                <w:szCs w:val="20"/>
              </w:rPr>
            </w:pPr>
            <w:r>
              <w:rPr>
                <w:rFonts w:ascii="Arial" w:hAnsi="Arial" w:cs="Arial"/>
                <w:sz w:val="20"/>
                <w:szCs w:val="20"/>
              </w:rPr>
              <w:t>125,281</w:t>
            </w:r>
          </w:p>
        </w:tc>
        <w:tc>
          <w:tcPr>
            <w:tcW w:w="1454" w:type="dxa"/>
            <w:vAlign w:val="bottom"/>
          </w:tcPr>
          <w:p w14:paraId="3189E77D" w14:textId="65F5EEC1" w:rsidR="00AD78DC" w:rsidRPr="00BB7176" w:rsidRDefault="00AD78DC" w:rsidP="00AD78DC">
            <w:pPr>
              <w:jc w:val="center"/>
              <w:rPr>
                <w:rFonts w:cs="Arial"/>
                <w:sz w:val="20"/>
                <w:szCs w:val="20"/>
              </w:rPr>
            </w:pPr>
            <w:r>
              <w:rPr>
                <w:rFonts w:ascii="Arial" w:hAnsi="Arial" w:cs="Arial"/>
                <w:sz w:val="20"/>
                <w:szCs w:val="20"/>
              </w:rPr>
              <w:t>24,426</w:t>
            </w:r>
          </w:p>
        </w:tc>
        <w:tc>
          <w:tcPr>
            <w:tcW w:w="1454" w:type="dxa"/>
            <w:vAlign w:val="bottom"/>
          </w:tcPr>
          <w:p w14:paraId="103884AC" w14:textId="0583B2CB"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35,931.43</w:t>
            </w:r>
          </w:p>
        </w:tc>
      </w:tr>
      <w:tr w:rsidR="00AD78DC" w14:paraId="43BF7830" w14:textId="4AEA44FC" w:rsidTr="00AC6D79">
        <w:trPr>
          <w:jc w:val="center"/>
        </w:trPr>
        <w:tc>
          <w:tcPr>
            <w:tcW w:w="1454" w:type="dxa"/>
            <w:vAlign w:val="bottom"/>
          </w:tcPr>
          <w:p w14:paraId="2C3EEA32" w14:textId="23679B8D" w:rsidR="00AD78DC" w:rsidRPr="00F66A82" w:rsidRDefault="00AD78DC" w:rsidP="00AD78DC">
            <w:pPr>
              <w:jc w:val="center"/>
              <w:rPr>
                <w:b/>
                <w:bCs/>
              </w:rPr>
            </w:pPr>
            <w:r w:rsidRPr="00F66A82">
              <w:rPr>
                <w:rFonts w:ascii="Arial" w:hAnsi="Arial" w:cs="Arial"/>
                <w:b/>
                <w:bCs/>
                <w:sz w:val="20"/>
                <w:szCs w:val="20"/>
              </w:rPr>
              <w:t>GB1</w:t>
            </w:r>
          </w:p>
        </w:tc>
        <w:tc>
          <w:tcPr>
            <w:tcW w:w="1454" w:type="dxa"/>
            <w:vAlign w:val="bottom"/>
          </w:tcPr>
          <w:p w14:paraId="04AB5D01" w14:textId="548B02A5" w:rsidR="00AD78DC" w:rsidRPr="00BB7176" w:rsidRDefault="002E6F74" w:rsidP="00AD78DC">
            <w:pPr>
              <w:jc w:val="center"/>
              <w:rPr>
                <w:rFonts w:cs="Arial"/>
                <w:sz w:val="20"/>
                <w:szCs w:val="20"/>
              </w:rPr>
            </w:pPr>
            <w:r>
              <w:rPr>
                <w:rFonts w:ascii="Arial" w:hAnsi="Arial" w:cs="Arial"/>
                <w:sz w:val="20"/>
                <w:szCs w:val="20"/>
              </w:rPr>
              <w:t>N/A</w:t>
            </w:r>
            <w:r w:rsidR="00AD78DC">
              <w:rPr>
                <w:rFonts w:ascii="Arial" w:hAnsi="Arial" w:cs="Arial"/>
                <w:sz w:val="20"/>
                <w:szCs w:val="20"/>
              </w:rPr>
              <w:t> </w:t>
            </w:r>
          </w:p>
        </w:tc>
        <w:tc>
          <w:tcPr>
            <w:tcW w:w="1454" w:type="dxa"/>
            <w:vAlign w:val="bottom"/>
          </w:tcPr>
          <w:p w14:paraId="3D1BA4DD" w14:textId="025AF5A3" w:rsidR="00AD78DC" w:rsidRPr="00BB7176" w:rsidRDefault="00AD78DC" w:rsidP="00AD78DC">
            <w:pPr>
              <w:jc w:val="center"/>
              <w:rPr>
                <w:rFonts w:cs="Arial"/>
                <w:sz w:val="20"/>
                <w:szCs w:val="20"/>
              </w:rPr>
            </w:pPr>
            <w:r>
              <w:rPr>
                <w:rFonts w:ascii="Arial" w:hAnsi="Arial" w:cs="Arial"/>
                <w:sz w:val="20"/>
                <w:szCs w:val="20"/>
              </w:rPr>
              <w:t>806,484</w:t>
            </w:r>
          </w:p>
        </w:tc>
        <w:tc>
          <w:tcPr>
            <w:tcW w:w="1454" w:type="dxa"/>
            <w:vAlign w:val="bottom"/>
          </w:tcPr>
          <w:p w14:paraId="68908049" w14:textId="46D487C9" w:rsidR="00AD78DC" w:rsidRPr="00BB7176" w:rsidRDefault="00AD78DC" w:rsidP="00AD78DC">
            <w:pPr>
              <w:jc w:val="center"/>
              <w:rPr>
                <w:rFonts w:cs="Arial"/>
                <w:sz w:val="20"/>
                <w:szCs w:val="20"/>
              </w:rPr>
            </w:pPr>
            <w:r>
              <w:rPr>
                <w:rFonts w:ascii="Arial" w:hAnsi="Arial" w:cs="Arial"/>
                <w:sz w:val="20"/>
                <w:szCs w:val="20"/>
              </w:rPr>
              <w:t>88,815</w:t>
            </w:r>
          </w:p>
        </w:tc>
        <w:tc>
          <w:tcPr>
            <w:tcW w:w="1454" w:type="dxa"/>
            <w:vAlign w:val="bottom"/>
          </w:tcPr>
          <w:p w14:paraId="1865647F" w14:textId="286EBAC3"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328,037.83</w:t>
            </w:r>
          </w:p>
        </w:tc>
      </w:tr>
      <w:tr w:rsidR="00AD78DC" w14:paraId="75782324" w14:textId="795A0E3C" w:rsidTr="00AC6D79">
        <w:trPr>
          <w:jc w:val="center"/>
        </w:trPr>
        <w:tc>
          <w:tcPr>
            <w:tcW w:w="1454" w:type="dxa"/>
            <w:vAlign w:val="bottom"/>
          </w:tcPr>
          <w:p w14:paraId="2372A886" w14:textId="6F4BE6AC" w:rsidR="00AD78DC" w:rsidRPr="00F66A82" w:rsidRDefault="00AD78DC" w:rsidP="00AD78DC">
            <w:pPr>
              <w:jc w:val="center"/>
              <w:rPr>
                <w:b/>
                <w:bCs/>
              </w:rPr>
            </w:pPr>
            <w:r w:rsidRPr="00F66A82">
              <w:rPr>
                <w:rFonts w:ascii="Arial" w:hAnsi="Arial" w:cs="Arial"/>
                <w:b/>
                <w:bCs/>
                <w:sz w:val="20"/>
                <w:szCs w:val="20"/>
              </w:rPr>
              <w:t>GW</w:t>
            </w:r>
          </w:p>
        </w:tc>
        <w:tc>
          <w:tcPr>
            <w:tcW w:w="1454" w:type="dxa"/>
            <w:vAlign w:val="bottom"/>
          </w:tcPr>
          <w:p w14:paraId="00B7E36B" w14:textId="160678E9" w:rsidR="00AD78DC" w:rsidRPr="00BB7176" w:rsidRDefault="00AD78DC" w:rsidP="00AD78DC">
            <w:pPr>
              <w:jc w:val="center"/>
              <w:rPr>
                <w:rFonts w:cs="Arial"/>
                <w:sz w:val="20"/>
                <w:szCs w:val="20"/>
              </w:rPr>
            </w:pPr>
            <w:r>
              <w:rPr>
                <w:rFonts w:ascii="Arial" w:hAnsi="Arial" w:cs="Arial"/>
                <w:sz w:val="20"/>
                <w:szCs w:val="20"/>
              </w:rPr>
              <w:t>41,602</w:t>
            </w:r>
          </w:p>
        </w:tc>
        <w:tc>
          <w:tcPr>
            <w:tcW w:w="1454" w:type="dxa"/>
            <w:vAlign w:val="bottom"/>
          </w:tcPr>
          <w:p w14:paraId="299C1EF8" w14:textId="278C48C7" w:rsidR="00AD78DC" w:rsidRPr="00BB7176" w:rsidRDefault="00AD78DC" w:rsidP="00AD78DC">
            <w:pPr>
              <w:jc w:val="center"/>
              <w:rPr>
                <w:rFonts w:cs="Arial"/>
                <w:sz w:val="20"/>
                <w:szCs w:val="20"/>
              </w:rPr>
            </w:pPr>
            <w:r>
              <w:rPr>
                <w:rFonts w:ascii="Arial" w:hAnsi="Arial" w:cs="Arial"/>
                <w:sz w:val="20"/>
                <w:szCs w:val="20"/>
              </w:rPr>
              <w:t>18,603</w:t>
            </w:r>
          </w:p>
        </w:tc>
        <w:tc>
          <w:tcPr>
            <w:tcW w:w="1454" w:type="dxa"/>
            <w:vAlign w:val="bottom"/>
          </w:tcPr>
          <w:p w14:paraId="655CD22E" w14:textId="24C5F545" w:rsidR="00AD78DC" w:rsidRPr="00BB7176" w:rsidRDefault="00AD78DC" w:rsidP="00AD78DC">
            <w:pPr>
              <w:jc w:val="center"/>
              <w:rPr>
                <w:rFonts w:cs="Arial"/>
                <w:sz w:val="20"/>
                <w:szCs w:val="20"/>
              </w:rPr>
            </w:pPr>
            <w:r>
              <w:rPr>
                <w:rFonts w:ascii="Arial" w:hAnsi="Arial" w:cs="Arial"/>
                <w:sz w:val="20"/>
                <w:szCs w:val="20"/>
              </w:rPr>
              <w:t>110,876</w:t>
            </w:r>
          </w:p>
        </w:tc>
        <w:tc>
          <w:tcPr>
            <w:tcW w:w="1454" w:type="dxa"/>
            <w:vAlign w:val="bottom"/>
          </w:tcPr>
          <w:p w14:paraId="0EE11C9F" w14:textId="3AFF9A57"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56,549.24</w:t>
            </w:r>
          </w:p>
        </w:tc>
      </w:tr>
      <w:tr w:rsidR="00AD78DC" w14:paraId="3365F79B" w14:textId="4C077AD9" w:rsidTr="00AC6D79">
        <w:trPr>
          <w:jc w:val="center"/>
        </w:trPr>
        <w:tc>
          <w:tcPr>
            <w:tcW w:w="1454" w:type="dxa"/>
            <w:vAlign w:val="bottom"/>
          </w:tcPr>
          <w:p w14:paraId="1CE90FEB" w14:textId="3EB6394E" w:rsidR="00AD78DC" w:rsidRPr="00F66A82" w:rsidRDefault="00AD78DC" w:rsidP="00AD78DC">
            <w:pPr>
              <w:jc w:val="center"/>
              <w:rPr>
                <w:b/>
                <w:bCs/>
              </w:rPr>
            </w:pPr>
            <w:r w:rsidRPr="00F66A82">
              <w:rPr>
                <w:rFonts w:ascii="Arial" w:hAnsi="Arial" w:cs="Arial"/>
                <w:b/>
                <w:bCs/>
                <w:sz w:val="20"/>
                <w:szCs w:val="20"/>
              </w:rPr>
              <w:t>I1</w:t>
            </w:r>
          </w:p>
        </w:tc>
        <w:tc>
          <w:tcPr>
            <w:tcW w:w="1454" w:type="dxa"/>
            <w:vAlign w:val="bottom"/>
          </w:tcPr>
          <w:p w14:paraId="34147D51" w14:textId="2E5064E9" w:rsidR="00AD78DC" w:rsidRPr="00BB7176" w:rsidRDefault="00AD78DC" w:rsidP="00AD78DC">
            <w:pPr>
              <w:jc w:val="center"/>
              <w:rPr>
                <w:rFonts w:cs="Arial"/>
                <w:sz w:val="20"/>
                <w:szCs w:val="20"/>
              </w:rPr>
            </w:pPr>
            <w:r>
              <w:rPr>
                <w:rFonts w:ascii="Arial" w:hAnsi="Arial" w:cs="Arial"/>
                <w:sz w:val="20"/>
                <w:szCs w:val="20"/>
              </w:rPr>
              <w:t>54,138</w:t>
            </w:r>
          </w:p>
        </w:tc>
        <w:tc>
          <w:tcPr>
            <w:tcW w:w="1454" w:type="dxa"/>
            <w:vAlign w:val="bottom"/>
          </w:tcPr>
          <w:p w14:paraId="11186931" w14:textId="4F3AF3A8" w:rsidR="00AD78DC" w:rsidRPr="00BB7176" w:rsidRDefault="002E6F74" w:rsidP="00AD78DC">
            <w:pPr>
              <w:jc w:val="center"/>
              <w:rPr>
                <w:rFonts w:cs="Arial"/>
                <w:sz w:val="20"/>
                <w:szCs w:val="20"/>
              </w:rPr>
            </w:pPr>
            <w:r>
              <w:rPr>
                <w:rFonts w:cs="Arial"/>
                <w:sz w:val="20"/>
                <w:szCs w:val="20"/>
              </w:rPr>
              <w:t>N/A</w:t>
            </w:r>
          </w:p>
        </w:tc>
        <w:tc>
          <w:tcPr>
            <w:tcW w:w="1454" w:type="dxa"/>
            <w:vAlign w:val="bottom"/>
          </w:tcPr>
          <w:p w14:paraId="70882B54" w14:textId="6436ADB8" w:rsidR="00AD78DC" w:rsidRPr="00BB7176" w:rsidRDefault="00AD78DC" w:rsidP="00AD78DC">
            <w:pPr>
              <w:jc w:val="center"/>
              <w:rPr>
                <w:rFonts w:cs="Arial"/>
                <w:sz w:val="20"/>
                <w:szCs w:val="20"/>
              </w:rPr>
            </w:pPr>
            <w:r>
              <w:rPr>
                <w:rFonts w:ascii="Arial" w:hAnsi="Arial" w:cs="Arial"/>
                <w:sz w:val="20"/>
                <w:szCs w:val="20"/>
              </w:rPr>
              <w:t>113,961</w:t>
            </w:r>
          </w:p>
        </w:tc>
        <w:tc>
          <w:tcPr>
            <w:tcW w:w="1454" w:type="dxa"/>
            <w:vAlign w:val="bottom"/>
          </w:tcPr>
          <w:p w14:paraId="5600C247" w14:textId="7AD0CABA"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84,049.83</w:t>
            </w:r>
          </w:p>
        </w:tc>
      </w:tr>
      <w:tr w:rsidR="00AD78DC" w14:paraId="1A3D8A8E" w14:textId="4308AE9C" w:rsidTr="00AC6D79">
        <w:trPr>
          <w:jc w:val="center"/>
        </w:trPr>
        <w:tc>
          <w:tcPr>
            <w:tcW w:w="1454" w:type="dxa"/>
            <w:vAlign w:val="bottom"/>
          </w:tcPr>
          <w:p w14:paraId="69D8C34F" w14:textId="64A70740" w:rsidR="00AD78DC" w:rsidRPr="00F66A82" w:rsidRDefault="00AD78DC" w:rsidP="00AD78DC">
            <w:pPr>
              <w:jc w:val="center"/>
              <w:rPr>
                <w:b/>
                <w:bCs/>
              </w:rPr>
            </w:pPr>
            <w:r w:rsidRPr="00F66A82">
              <w:rPr>
                <w:rFonts w:ascii="Arial" w:hAnsi="Arial" w:cs="Arial"/>
                <w:b/>
                <w:bCs/>
                <w:sz w:val="20"/>
                <w:szCs w:val="20"/>
              </w:rPr>
              <w:t>I2</w:t>
            </w:r>
          </w:p>
        </w:tc>
        <w:tc>
          <w:tcPr>
            <w:tcW w:w="1454" w:type="dxa"/>
            <w:vAlign w:val="bottom"/>
          </w:tcPr>
          <w:p w14:paraId="3BC98AE9" w14:textId="1B1A3E81" w:rsidR="00AD78DC" w:rsidRPr="00BB7176" w:rsidRDefault="00AD78DC" w:rsidP="00AD78DC">
            <w:pPr>
              <w:jc w:val="center"/>
              <w:rPr>
                <w:rFonts w:cs="Arial"/>
                <w:sz w:val="20"/>
                <w:szCs w:val="20"/>
              </w:rPr>
            </w:pPr>
            <w:r>
              <w:rPr>
                <w:rFonts w:ascii="Arial" w:hAnsi="Arial" w:cs="Arial"/>
                <w:sz w:val="20"/>
                <w:szCs w:val="20"/>
              </w:rPr>
              <w:t>14,425</w:t>
            </w:r>
          </w:p>
        </w:tc>
        <w:tc>
          <w:tcPr>
            <w:tcW w:w="1454" w:type="dxa"/>
            <w:vAlign w:val="bottom"/>
          </w:tcPr>
          <w:p w14:paraId="3DE2E4FC" w14:textId="21EB5EA8" w:rsidR="00AD78DC" w:rsidRPr="00BB7176" w:rsidRDefault="00AD78DC" w:rsidP="00AD78DC">
            <w:pPr>
              <w:jc w:val="center"/>
              <w:rPr>
                <w:rFonts w:cs="Arial"/>
                <w:sz w:val="20"/>
                <w:szCs w:val="20"/>
              </w:rPr>
            </w:pPr>
            <w:r>
              <w:rPr>
                <w:rFonts w:ascii="Arial" w:hAnsi="Arial" w:cs="Arial"/>
                <w:sz w:val="20"/>
                <w:szCs w:val="20"/>
              </w:rPr>
              <w:t>13,564</w:t>
            </w:r>
          </w:p>
        </w:tc>
        <w:tc>
          <w:tcPr>
            <w:tcW w:w="1454" w:type="dxa"/>
            <w:vAlign w:val="bottom"/>
          </w:tcPr>
          <w:p w14:paraId="4477774E" w14:textId="22521880" w:rsidR="00AD78DC" w:rsidRPr="00BB7176" w:rsidRDefault="00AD78DC" w:rsidP="00AD78DC">
            <w:pPr>
              <w:jc w:val="center"/>
              <w:rPr>
                <w:rFonts w:cs="Arial"/>
                <w:sz w:val="20"/>
                <w:szCs w:val="20"/>
              </w:rPr>
            </w:pPr>
            <w:r>
              <w:rPr>
                <w:rFonts w:ascii="Arial" w:hAnsi="Arial" w:cs="Arial"/>
                <w:sz w:val="20"/>
                <w:szCs w:val="20"/>
              </w:rPr>
              <w:t>22,589</w:t>
            </w:r>
          </w:p>
        </w:tc>
        <w:tc>
          <w:tcPr>
            <w:tcW w:w="1454" w:type="dxa"/>
            <w:vAlign w:val="bottom"/>
          </w:tcPr>
          <w:p w14:paraId="3F1F72D6" w14:textId="36FE3A95"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15,827.80</w:t>
            </w:r>
          </w:p>
        </w:tc>
      </w:tr>
      <w:tr w:rsidR="00AD78DC" w14:paraId="4153395C" w14:textId="67E77C71" w:rsidTr="00AC6D79">
        <w:trPr>
          <w:jc w:val="center"/>
        </w:trPr>
        <w:tc>
          <w:tcPr>
            <w:tcW w:w="1454" w:type="dxa"/>
            <w:vAlign w:val="bottom"/>
          </w:tcPr>
          <w:p w14:paraId="45F92BAC" w14:textId="588901CD" w:rsidR="00AD78DC" w:rsidRPr="00F66A82" w:rsidRDefault="00AD78DC" w:rsidP="00AD78DC">
            <w:pPr>
              <w:jc w:val="center"/>
              <w:rPr>
                <w:b/>
                <w:bCs/>
              </w:rPr>
            </w:pPr>
            <w:r w:rsidRPr="00F66A82">
              <w:rPr>
                <w:rFonts w:ascii="Arial" w:hAnsi="Arial" w:cs="Arial"/>
                <w:b/>
                <w:bCs/>
                <w:sz w:val="20"/>
                <w:szCs w:val="20"/>
              </w:rPr>
              <w:t>R20</w:t>
            </w:r>
          </w:p>
        </w:tc>
        <w:tc>
          <w:tcPr>
            <w:tcW w:w="1454" w:type="dxa"/>
            <w:vAlign w:val="bottom"/>
          </w:tcPr>
          <w:p w14:paraId="030D4745" w14:textId="29BB4214" w:rsidR="00AD78DC" w:rsidRPr="00BB7176" w:rsidRDefault="00AD78DC" w:rsidP="00AD78DC">
            <w:pPr>
              <w:jc w:val="center"/>
              <w:rPr>
                <w:rFonts w:cs="Arial"/>
                <w:sz w:val="20"/>
                <w:szCs w:val="20"/>
              </w:rPr>
            </w:pPr>
            <w:r>
              <w:rPr>
                <w:rFonts w:ascii="Arial" w:hAnsi="Arial" w:cs="Arial"/>
                <w:sz w:val="20"/>
                <w:szCs w:val="20"/>
              </w:rPr>
              <w:t>20,145</w:t>
            </w:r>
          </w:p>
        </w:tc>
        <w:tc>
          <w:tcPr>
            <w:tcW w:w="1454" w:type="dxa"/>
            <w:vAlign w:val="bottom"/>
          </w:tcPr>
          <w:p w14:paraId="2F73D71E" w14:textId="0745F879" w:rsidR="00AD78DC" w:rsidRPr="00BB7176" w:rsidRDefault="00AD78DC" w:rsidP="00AD78DC">
            <w:pPr>
              <w:jc w:val="center"/>
              <w:rPr>
                <w:rFonts w:cs="Arial"/>
                <w:sz w:val="20"/>
                <w:szCs w:val="20"/>
              </w:rPr>
            </w:pPr>
            <w:r>
              <w:rPr>
                <w:rFonts w:ascii="Arial" w:hAnsi="Arial" w:cs="Arial"/>
                <w:sz w:val="20"/>
                <w:szCs w:val="20"/>
              </w:rPr>
              <w:t>70,841</w:t>
            </w:r>
          </w:p>
        </w:tc>
        <w:tc>
          <w:tcPr>
            <w:tcW w:w="1454" w:type="dxa"/>
            <w:vAlign w:val="bottom"/>
          </w:tcPr>
          <w:p w14:paraId="0A106475" w14:textId="6FF3819D" w:rsidR="00AD78DC" w:rsidRPr="00BB7176" w:rsidRDefault="00AD78DC" w:rsidP="00AD78DC">
            <w:pPr>
              <w:jc w:val="center"/>
              <w:rPr>
                <w:rFonts w:cs="Arial"/>
                <w:sz w:val="20"/>
                <w:szCs w:val="20"/>
              </w:rPr>
            </w:pPr>
            <w:r>
              <w:rPr>
                <w:rFonts w:ascii="Arial" w:hAnsi="Arial" w:cs="Arial"/>
                <w:sz w:val="20"/>
                <w:szCs w:val="20"/>
              </w:rPr>
              <w:t>94,874</w:t>
            </w:r>
          </w:p>
        </w:tc>
        <w:tc>
          <w:tcPr>
            <w:tcW w:w="1454" w:type="dxa"/>
            <w:vAlign w:val="bottom"/>
          </w:tcPr>
          <w:p w14:paraId="369DF329" w14:textId="521A2717"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27,095.30</w:t>
            </w:r>
          </w:p>
        </w:tc>
      </w:tr>
      <w:tr w:rsidR="00AD78DC" w14:paraId="33DBAF3E" w14:textId="11EF15F9" w:rsidTr="00AC6D79">
        <w:trPr>
          <w:jc w:val="center"/>
        </w:trPr>
        <w:tc>
          <w:tcPr>
            <w:tcW w:w="1454" w:type="dxa"/>
            <w:vAlign w:val="bottom"/>
          </w:tcPr>
          <w:p w14:paraId="30CC65F9" w14:textId="5AE4965A" w:rsidR="00AD78DC" w:rsidRPr="00F66A82" w:rsidRDefault="00AD78DC" w:rsidP="00AD78DC">
            <w:pPr>
              <w:jc w:val="center"/>
              <w:rPr>
                <w:b/>
                <w:bCs/>
              </w:rPr>
            </w:pPr>
            <w:r w:rsidRPr="00F66A82">
              <w:rPr>
                <w:rFonts w:ascii="Arial" w:hAnsi="Arial" w:cs="Arial"/>
                <w:b/>
                <w:bCs/>
                <w:sz w:val="20"/>
                <w:szCs w:val="20"/>
              </w:rPr>
              <w:t>RR2</w:t>
            </w:r>
          </w:p>
        </w:tc>
        <w:tc>
          <w:tcPr>
            <w:tcW w:w="1454" w:type="dxa"/>
            <w:vAlign w:val="bottom"/>
          </w:tcPr>
          <w:p w14:paraId="2C70DC59" w14:textId="4C2628B0" w:rsidR="00AD78DC" w:rsidRPr="00BB7176" w:rsidRDefault="00AD78DC" w:rsidP="00AD78DC">
            <w:pPr>
              <w:jc w:val="center"/>
              <w:rPr>
                <w:rFonts w:cs="Arial"/>
                <w:sz w:val="20"/>
                <w:szCs w:val="20"/>
              </w:rPr>
            </w:pPr>
            <w:r>
              <w:rPr>
                <w:rFonts w:ascii="Arial" w:hAnsi="Arial" w:cs="Arial"/>
                <w:sz w:val="20"/>
                <w:szCs w:val="20"/>
              </w:rPr>
              <w:t>191,816</w:t>
            </w:r>
          </w:p>
        </w:tc>
        <w:tc>
          <w:tcPr>
            <w:tcW w:w="1454" w:type="dxa"/>
            <w:vAlign w:val="bottom"/>
          </w:tcPr>
          <w:p w14:paraId="00C2027A" w14:textId="16DC924C" w:rsidR="00AD78DC" w:rsidRPr="00BB7176" w:rsidRDefault="00AD78DC" w:rsidP="00AD78DC">
            <w:pPr>
              <w:jc w:val="center"/>
              <w:rPr>
                <w:rFonts w:cs="Arial"/>
                <w:sz w:val="20"/>
                <w:szCs w:val="20"/>
              </w:rPr>
            </w:pPr>
            <w:r>
              <w:rPr>
                <w:rFonts w:ascii="Arial" w:hAnsi="Arial" w:cs="Arial"/>
                <w:sz w:val="20"/>
                <w:szCs w:val="20"/>
              </w:rPr>
              <w:t>76,682</w:t>
            </w:r>
          </w:p>
        </w:tc>
        <w:tc>
          <w:tcPr>
            <w:tcW w:w="1454" w:type="dxa"/>
            <w:vAlign w:val="bottom"/>
          </w:tcPr>
          <w:p w14:paraId="2DE5A204" w14:textId="41668151" w:rsidR="00AD78DC" w:rsidRPr="00BB7176" w:rsidRDefault="00AD78DC" w:rsidP="00AD78DC">
            <w:pPr>
              <w:jc w:val="center"/>
              <w:rPr>
                <w:rFonts w:cs="Arial"/>
                <w:sz w:val="20"/>
                <w:szCs w:val="20"/>
              </w:rPr>
            </w:pPr>
            <w:r>
              <w:rPr>
                <w:rFonts w:ascii="Arial" w:hAnsi="Arial" w:cs="Arial"/>
                <w:sz w:val="20"/>
                <w:szCs w:val="20"/>
              </w:rPr>
              <w:t>499,387</w:t>
            </w:r>
          </w:p>
        </w:tc>
        <w:tc>
          <w:tcPr>
            <w:tcW w:w="1454" w:type="dxa"/>
            <w:vAlign w:val="bottom"/>
          </w:tcPr>
          <w:p w14:paraId="1C2AB9EA" w14:textId="505A89B3"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238,711.90</w:t>
            </w:r>
          </w:p>
        </w:tc>
      </w:tr>
      <w:tr w:rsidR="00AD78DC" w14:paraId="14D35651" w14:textId="7451E50A" w:rsidTr="00AC6D79">
        <w:trPr>
          <w:jc w:val="center"/>
        </w:trPr>
        <w:tc>
          <w:tcPr>
            <w:tcW w:w="1454" w:type="dxa"/>
            <w:vAlign w:val="bottom"/>
          </w:tcPr>
          <w:p w14:paraId="0DDEA2FC" w14:textId="69C1FA01" w:rsidR="00AD78DC" w:rsidRPr="00F66A82" w:rsidRDefault="00AD78DC" w:rsidP="00AD78DC">
            <w:pPr>
              <w:jc w:val="center"/>
              <w:rPr>
                <w:b/>
                <w:bCs/>
              </w:rPr>
            </w:pPr>
            <w:r w:rsidRPr="00F66A82">
              <w:rPr>
                <w:rFonts w:ascii="Arial" w:hAnsi="Arial" w:cs="Arial"/>
                <w:b/>
                <w:bCs/>
                <w:sz w:val="20"/>
                <w:szCs w:val="20"/>
              </w:rPr>
              <w:t>RR3</w:t>
            </w:r>
          </w:p>
        </w:tc>
        <w:tc>
          <w:tcPr>
            <w:tcW w:w="1454" w:type="dxa"/>
            <w:vAlign w:val="bottom"/>
          </w:tcPr>
          <w:p w14:paraId="311F5FA3" w14:textId="6E0F78C5" w:rsidR="00AD78DC" w:rsidRPr="00BB7176" w:rsidRDefault="00AD78DC" w:rsidP="00AD78DC">
            <w:pPr>
              <w:jc w:val="center"/>
              <w:rPr>
                <w:rFonts w:cs="Arial"/>
                <w:sz w:val="20"/>
                <w:szCs w:val="20"/>
              </w:rPr>
            </w:pPr>
            <w:r>
              <w:rPr>
                <w:rFonts w:ascii="Arial" w:hAnsi="Arial" w:cs="Arial"/>
                <w:sz w:val="20"/>
                <w:szCs w:val="20"/>
              </w:rPr>
              <w:t>185,835</w:t>
            </w:r>
          </w:p>
        </w:tc>
        <w:tc>
          <w:tcPr>
            <w:tcW w:w="1454" w:type="dxa"/>
            <w:vAlign w:val="bottom"/>
          </w:tcPr>
          <w:p w14:paraId="1BA4ABA3" w14:textId="4D8D5081" w:rsidR="00AD78DC" w:rsidRPr="00BB7176" w:rsidRDefault="002E6F74" w:rsidP="00AD78DC">
            <w:pPr>
              <w:jc w:val="center"/>
              <w:rPr>
                <w:rFonts w:cs="Arial"/>
                <w:sz w:val="20"/>
                <w:szCs w:val="20"/>
              </w:rPr>
            </w:pPr>
            <w:r>
              <w:rPr>
                <w:rFonts w:cs="Arial"/>
                <w:sz w:val="20"/>
                <w:szCs w:val="20"/>
              </w:rPr>
              <w:t>N/A</w:t>
            </w:r>
          </w:p>
        </w:tc>
        <w:tc>
          <w:tcPr>
            <w:tcW w:w="1454" w:type="dxa"/>
            <w:vAlign w:val="bottom"/>
          </w:tcPr>
          <w:p w14:paraId="17594144" w14:textId="2506F81C" w:rsidR="00AD78DC" w:rsidRPr="00BB7176" w:rsidRDefault="00AD78DC" w:rsidP="00AD78DC">
            <w:pPr>
              <w:jc w:val="center"/>
              <w:rPr>
                <w:rFonts w:cs="Arial"/>
                <w:sz w:val="20"/>
                <w:szCs w:val="20"/>
              </w:rPr>
            </w:pPr>
            <w:r>
              <w:rPr>
                <w:rFonts w:ascii="Arial" w:hAnsi="Arial" w:cs="Arial"/>
                <w:sz w:val="20"/>
                <w:szCs w:val="20"/>
              </w:rPr>
              <w:t>318,930</w:t>
            </w:r>
          </w:p>
        </w:tc>
        <w:tc>
          <w:tcPr>
            <w:tcW w:w="1454" w:type="dxa"/>
            <w:vAlign w:val="bottom"/>
          </w:tcPr>
          <w:p w14:paraId="04CCAE24" w14:textId="3C618AE5"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220,859.89</w:t>
            </w:r>
          </w:p>
        </w:tc>
      </w:tr>
      <w:tr w:rsidR="00AD78DC" w14:paraId="3701BAA4" w14:textId="18410260" w:rsidTr="00AC6D79">
        <w:trPr>
          <w:jc w:val="center"/>
        </w:trPr>
        <w:tc>
          <w:tcPr>
            <w:tcW w:w="1454" w:type="dxa"/>
            <w:vAlign w:val="bottom"/>
          </w:tcPr>
          <w:p w14:paraId="0AA32FF4" w14:textId="24DD41D6" w:rsidR="00AD78DC" w:rsidRPr="00F66A82" w:rsidRDefault="00AD78DC" w:rsidP="00AD78DC">
            <w:pPr>
              <w:jc w:val="center"/>
              <w:rPr>
                <w:b/>
                <w:bCs/>
              </w:rPr>
            </w:pPr>
            <w:r w:rsidRPr="00F66A82">
              <w:rPr>
                <w:rFonts w:ascii="Arial" w:hAnsi="Arial" w:cs="Arial"/>
                <w:b/>
                <w:bCs/>
                <w:sz w:val="20"/>
                <w:szCs w:val="20"/>
              </w:rPr>
              <w:t>RR5</w:t>
            </w:r>
          </w:p>
        </w:tc>
        <w:tc>
          <w:tcPr>
            <w:tcW w:w="1454" w:type="dxa"/>
            <w:vAlign w:val="bottom"/>
          </w:tcPr>
          <w:p w14:paraId="317364E8" w14:textId="37387D08" w:rsidR="00AD78DC" w:rsidRPr="00BB7176" w:rsidRDefault="00AD78DC" w:rsidP="00AD78DC">
            <w:pPr>
              <w:jc w:val="center"/>
              <w:rPr>
                <w:rFonts w:cs="Arial"/>
                <w:sz w:val="20"/>
                <w:szCs w:val="20"/>
              </w:rPr>
            </w:pPr>
            <w:r>
              <w:rPr>
                <w:rFonts w:ascii="Arial" w:hAnsi="Arial" w:cs="Arial"/>
                <w:sz w:val="20"/>
                <w:szCs w:val="20"/>
              </w:rPr>
              <w:t>164,588</w:t>
            </w:r>
          </w:p>
        </w:tc>
        <w:tc>
          <w:tcPr>
            <w:tcW w:w="1454" w:type="dxa"/>
            <w:vAlign w:val="bottom"/>
          </w:tcPr>
          <w:p w14:paraId="32F2D3C7" w14:textId="7B3F0DE5" w:rsidR="00AD78DC" w:rsidRPr="00BB7176" w:rsidRDefault="002E6F74" w:rsidP="00AD78DC">
            <w:pPr>
              <w:jc w:val="center"/>
              <w:rPr>
                <w:rFonts w:cs="Arial"/>
                <w:sz w:val="20"/>
                <w:szCs w:val="20"/>
              </w:rPr>
            </w:pPr>
            <w:r>
              <w:rPr>
                <w:rFonts w:cs="Arial"/>
                <w:sz w:val="20"/>
                <w:szCs w:val="20"/>
              </w:rPr>
              <w:t>N/A</w:t>
            </w:r>
          </w:p>
        </w:tc>
        <w:tc>
          <w:tcPr>
            <w:tcW w:w="1454" w:type="dxa"/>
            <w:vAlign w:val="bottom"/>
          </w:tcPr>
          <w:p w14:paraId="28B33550" w14:textId="54FFF0F7" w:rsidR="00AD78DC" w:rsidRPr="00BB7176" w:rsidRDefault="00AD78DC" w:rsidP="00AD78DC">
            <w:pPr>
              <w:jc w:val="center"/>
              <w:rPr>
                <w:rFonts w:cs="Arial"/>
                <w:sz w:val="20"/>
                <w:szCs w:val="20"/>
              </w:rPr>
            </w:pPr>
            <w:r>
              <w:rPr>
                <w:rFonts w:ascii="Arial" w:hAnsi="Arial" w:cs="Arial"/>
                <w:sz w:val="20"/>
                <w:szCs w:val="20"/>
              </w:rPr>
              <w:t>2,088,425</w:t>
            </w:r>
          </w:p>
        </w:tc>
        <w:tc>
          <w:tcPr>
            <w:tcW w:w="1454" w:type="dxa"/>
            <w:vAlign w:val="bottom"/>
          </w:tcPr>
          <w:p w14:paraId="1104CE55" w14:textId="051A3821"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405,067.58</w:t>
            </w:r>
          </w:p>
        </w:tc>
      </w:tr>
      <w:tr w:rsidR="00AD78DC" w14:paraId="4499B66A" w14:textId="072D27E3" w:rsidTr="00AC6D79">
        <w:trPr>
          <w:jc w:val="center"/>
        </w:trPr>
        <w:tc>
          <w:tcPr>
            <w:tcW w:w="1454" w:type="dxa"/>
            <w:vAlign w:val="bottom"/>
          </w:tcPr>
          <w:p w14:paraId="5861E68A" w14:textId="6C0EF033" w:rsidR="00AD78DC" w:rsidRPr="00F66A82" w:rsidRDefault="00AD78DC" w:rsidP="00AD78DC">
            <w:pPr>
              <w:jc w:val="center"/>
              <w:rPr>
                <w:b/>
                <w:bCs/>
              </w:rPr>
            </w:pPr>
            <w:r w:rsidRPr="00F66A82">
              <w:rPr>
                <w:rFonts w:ascii="Arial" w:hAnsi="Arial" w:cs="Arial"/>
                <w:b/>
                <w:bCs/>
                <w:sz w:val="20"/>
                <w:szCs w:val="20"/>
              </w:rPr>
              <w:t>VMC</w:t>
            </w:r>
          </w:p>
        </w:tc>
        <w:tc>
          <w:tcPr>
            <w:tcW w:w="1454" w:type="dxa"/>
            <w:vAlign w:val="bottom"/>
          </w:tcPr>
          <w:p w14:paraId="3ED6287B" w14:textId="27FFDFDF" w:rsidR="00AD78DC" w:rsidRPr="00BB7176" w:rsidRDefault="00AD78DC" w:rsidP="00AD78DC">
            <w:pPr>
              <w:jc w:val="center"/>
              <w:rPr>
                <w:rFonts w:cs="Arial"/>
                <w:sz w:val="20"/>
                <w:szCs w:val="20"/>
              </w:rPr>
            </w:pPr>
            <w:r>
              <w:rPr>
                <w:rFonts w:ascii="Arial" w:hAnsi="Arial" w:cs="Arial"/>
                <w:sz w:val="20"/>
                <w:szCs w:val="20"/>
              </w:rPr>
              <w:t>10,739</w:t>
            </w:r>
          </w:p>
        </w:tc>
        <w:tc>
          <w:tcPr>
            <w:tcW w:w="1454" w:type="dxa"/>
            <w:vAlign w:val="bottom"/>
          </w:tcPr>
          <w:p w14:paraId="38DBC330" w14:textId="072AA410" w:rsidR="00AD78DC" w:rsidRPr="00BB7176" w:rsidRDefault="00AD78DC" w:rsidP="00AD78DC">
            <w:pPr>
              <w:jc w:val="center"/>
              <w:rPr>
                <w:rFonts w:cs="Arial"/>
                <w:sz w:val="20"/>
                <w:szCs w:val="20"/>
              </w:rPr>
            </w:pPr>
            <w:r>
              <w:rPr>
                <w:rFonts w:ascii="Arial" w:hAnsi="Arial" w:cs="Arial"/>
                <w:sz w:val="20"/>
                <w:szCs w:val="20"/>
              </w:rPr>
              <w:t>14,370</w:t>
            </w:r>
          </w:p>
        </w:tc>
        <w:tc>
          <w:tcPr>
            <w:tcW w:w="1454" w:type="dxa"/>
            <w:vAlign w:val="bottom"/>
          </w:tcPr>
          <w:p w14:paraId="61DBCD5F" w14:textId="272EA6A8" w:rsidR="00AD78DC" w:rsidRPr="00BB7176" w:rsidRDefault="00AD78DC" w:rsidP="00AD78DC">
            <w:pPr>
              <w:jc w:val="center"/>
              <w:rPr>
                <w:rFonts w:cs="Arial"/>
                <w:sz w:val="20"/>
                <w:szCs w:val="20"/>
              </w:rPr>
            </w:pPr>
            <w:r>
              <w:rPr>
                <w:rFonts w:ascii="Arial" w:hAnsi="Arial" w:cs="Arial"/>
                <w:sz w:val="20"/>
                <w:szCs w:val="20"/>
              </w:rPr>
              <w:t>15,029</w:t>
            </w:r>
          </w:p>
        </w:tc>
        <w:tc>
          <w:tcPr>
            <w:tcW w:w="1454" w:type="dxa"/>
            <w:vAlign w:val="bottom"/>
          </w:tcPr>
          <w:p w14:paraId="6A5FF2AC" w14:textId="59E801A9"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12,548.55</w:t>
            </w:r>
          </w:p>
        </w:tc>
      </w:tr>
      <w:tr w:rsidR="00AD78DC" w14:paraId="19CE7E3F" w14:textId="6095BCF6" w:rsidTr="00AC6D79">
        <w:trPr>
          <w:jc w:val="center"/>
        </w:trPr>
        <w:tc>
          <w:tcPr>
            <w:tcW w:w="1454" w:type="dxa"/>
            <w:vAlign w:val="bottom"/>
          </w:tcPr>
          <w:p w14:paraId="57F7E3B6" w14:textId="6E66F8A6" w:rsidR="00AD78DC" w:rsidRPr="00F66A82" w:rsidRDefault="00AD78DC" w:rsidP="00AD78DC">
            <w:pPr>
              <w:jc w:val="center"/>
              <w:rPr>
                <w:b/>
                <w:bCs/>
              </w:rPr>
            </w:pPr>
            <w:r w:rsidRPr="00F66A82">
              <w:rPr>
                <w:rFonts w:ascii="Arial" w:hAnsi="Arial" w:cs="Arial"/>
                <w:b/>
                <w:bCs/>
                <w:sz w:val="20"/>
                <w:szCs w:val="20"/>
              </w:rPr>
              <w:t>VRC</w:t>
            </w:r>
          </w:p>
        </w:tc>
        <w:tc>
          <w:tcPr>
            <w:tcW w:w="1454" w:type="dxa"/>
            <w:vAlign w:val="bottom"/>
          </w:tcPr>
          <w:p w14:paraId="5BE7A9D6" w14:textId="29059839" w:rsidR="00AD78DC" w:rsidRPr="00BB7176" w:rsidRDefault="00AD78DC" w:rsidP="00AD78DC">
            <w:pPr>
              <w:jc w:val="center"/>
              <w:rPr>
                <w:rFonts w:cs="Arial"/>
                <w:sz w:val="20"/>
                <w:szCs w:val="20"/>
              </w:rPr>
            </w:pPr>
            <w:r>
              <w:rPr>
                <w:rFonts w:ascii="Arial" w:hAnsi="Arial" w:cs="Arial"/>
                <w:sz w:val="20"/>
                <w:szCs w:val="20"/>
              </w:rPr>
              <w:t>58,917</w:t>
            </w:r>
          </w:p>
        </w:tc>
        <w:tc>
          <w:tcPr>
            <w:tcW w:w="1454" w:type="dxa"/>
            <w:vAlign w:val="bottom"/>
          </w:tcPr>
          <w:p w14:paraId="616B6615" w14:textId="3415828F" w:rsidR="00AD78DC" w:rsidRPr="00BB7176" w:rsidRDefault="002E6F74" w:rsidP="00AD78DC">
            <w:pPr>
              <w:jc w:val="center"/>
              <w:rPr>
                <w:rFonts w:cs="Arial"/>
                <w:sz w:val="20"/>
                <w:szCs w:val="20"/>
              </w:rPr>
            </w:pPr>
            <w:r>
              <w:rPr>
                <w:rFonts w:cs="Arial"/>
                <w:sz w:val="20"/>
                <w:szCs w:val="20"/>
              </w:rPr>
              <w:t>N/A</w:t>
            </w:r>
          </w:p>
        </w:tc>
        <w:tc>
          <w:tcPr>
            <w:tcW w:w="1454" w:type="dxa"/>
            <w:vAlign w:val="bottom"/>
          </w:tcPr>
          <w:p w14:paraId="703830AE" w14:textId="5AB5170D" w:rsidR="00AD78DC" w:rsidRPr="00BB7176" w:rsidRDefault="00AD78DC" w:rsidP="00AD78DC">
            <w:pPr>
              <w:jc w:val="center"/>
              <w:rPr>
                <w:rFonts w:cs="Arial"/>
                <w:sz w:val="20"/>
                <w:szCs w:val="20"/>
              </w:rPr>
            </w:pPr>
            <w:r>
              <w:rPr>
                <w:rFonts w:ascii="Arial" w:hAnsi="Arial" w:cs="Arial"/>
                <w:sz w:val="20"/>
                <w:szCs w:val="20"/>
              </w:rPr>
              <w:t>104,011</w:t>
            </w:r>
          </w:p>
        </w:tc>
        <w:tc>
          <w:tcPr>
            <w:tcW w:w="1454" w:type="dxa"/>
            <w:vAlign w:val="bottom"/>
          </w:tcPr>
          <w:p w14:paraId="6B7F17CF" w14:textId="349488A9" w:rsidR="00AD78DC" w:rsidRPr="00771A25" w:rsidRDefault="00AD78DC" w:rsidP="00AD78DC">
            <w:pPr>
              <w:jc w:val="center"/>
              <w:rPr>
                <w:rFonts w:ascii="Arial" w:hAnsi="Arial" w:cs="Arial"/>
                <w:b/>
                <w:bCs/>
                <w:sz w:val="20"/>
                <w:szCs w:val="20"/>
              </w:rPr>
            </w:pPr>
            <w:r w:rsidRPr="00771A25">
              <w:rPr>
                <w:rFonts w:ascii="Arial" w:hAnsi="Arial" w:cs="Arial"/>
                <w:b/>
                <w:bCs/>
                <w:sz w:val="20"/>
                <w:szCs w:val="20"/>
              </w:rPr>
              <w:t>88,979.67</w:t>
            </w:r>
          </w:p>
        </w:tc>
      </w:tr>
    </w:tbl>
    <w:p w14:paraId="2AA1B2B5" w14:textId="2DE07DF3" w:rsidR="003723DC" w:rsidRDefault="00D666D8" w:rsidP="001C1B95">
      <w:pPr>
        <w:pStyle w:val="Heading2"/>
      </w:pPr>
      <w:r>
        <w:t>Suggested</w:t>
      </w:r>
      <w:r w:rsidR="00C303E2">
        <w:t xml:space="preserve"> </w:t>
      </w:r>
      <w:r w:rsidR="008D5F22" w:rsidRPr="00743C1D">
        <w:t>Changes</w:t>
      </w:r>
      <w:r w:rsidR="00896BD6">
        <w:t xml:space="preserve"> and Amendments</w:t>
      </w:r>
      <w:r w:rsidR="008D5F22" w:rsidRPr="00743C1D">
        <w:t>:</w:t>
      </w:r>
    </w:p>
    <w:p w14:paraId="7EACA6F3" w14:textId="2130C6E3" w:rsidR="0023261F" w:rsidRPr="0023261F" w:rsidRDefault="0023261F" w:rsidP="008956EA">
      <w:pPr>
        <w:pStyle w:val="Heading4"/>
        <w:numPr>
          <w:ilvl w:val="0"/>
          <w:numId w:val="0"/>
        </w:numPr>
      </w:pPr>
      <w:r w:rsidRPr="0023261F">
        <w:t>Article II: Definitions</w:t>
      </w:r>
    </w:p>
    <w:p w14:paraId="408DC525" w14:textId="77777777" w:rsidR="0023261F" w:rsidRPr="0023261F" w:rsidRDefault="0023261F" w:rsidP="00B528C9">
      <w:pPr>
        <w:pStyle w:val="ListParagraph"/>
        <w:jc w:val="both"/>
      </w:pPr>
      <w:r w:rsidRPr="0023261F">
        <w:t>Add New Definitions:</w:t>
      </w:r>
    </w:p>
    <w:p w14:paraId="19D0E281" w14:textId="77777777" w:rsidR="0023261F" w:rsidRPr="0023261F" w:rsidRDefault="0023261F" w:rsidP="00B528C9">
      <w:pPr>
        <w:pStyle w:val="ListParagraph"/>
        <w:numPr>
          <w:ilvl w:val="1"/>
          <w:numId w:val="6"/>
        </w:numPr>
        <w:jc w:val="both"/>
      </w:pPr>
      <w:r w:rsidRPr="0023261F">
        <w:t>Triplex: A residential building with three separate dwelling units, each with independent entrances, often sharing walls.</w:t>
      </w:r>
    </w:p>
    <w:p w14:paraId="7D8E1BF7" w14:textId="77777777" w:rsidR="0023261F" w:rsidRPr="0023261F" w:rsidRDefault="0023261F" w:rsidP="00B528C9">
      <w:pPr>
        <w:pStyle w:val="ListParagraph"/>
        <w:numPr>
          <w:ilvl w:val="1"/>
          <w:numId w:val="6"/>
        </w:numPr>
        <w:jc w:val="both"/>
      </w:pPr>
      <w:r w:rsidRPr="0023261F">
        <w:t>Fourplex: A residential building with four separate dwelling units, typically designed with shared walls or floors.</w:t>
      </w:r>
    </w:p>
    <w:p w14:paraId="4FD3E045" w14:textId="77777777" w:rsidR="0023261F" w:rsidRPr="0023261F" w:rsidRDefault="0023261F" w:rsidP="00B528C9">
      <w:pPr>
        <w:pStyle w:val="ListParagraph"/>
        <w:numPr>
          <w:ilvl w:val="1"/>
          <w:numId w:val="6"/>
        </w:numPr>
        <w:jc w:val="both"/>
      </w:pPr>
      <w:r w:rsidRPr="0023261F">
        <w:t>Townhouse: A multi-story residential unit attached to one or more other units, each with its own entrance and often featuring a small yard or parking area.</w:t>
      </w:r>
    </w:p>
    <w:p w14:paraId="0E4F958E" w14:textId="77777777" w:rsidR="0023261F" w:rsidRPr="0023261F" w:rsidRDefault="0023261F" w:rsidP="00B528C9">
      <w:pPr>
        <w:pStyle w:val="ListParagraph"/>
        <w:numPr>
          <w:ilvl w:val="1"/>
          <w:numId w:val="6"/>
        </w:numPr>
        <w:jc w:val="both"/>
      </w:pPr>
      <w:r w:rsidRPr="0023261F">
        <w:t>Live/Work Unit: A space that combines residential living quarters with a work area for commercial or business use, typically suited for small-scale business operations.</w:t>
      </w:r>
    </w:p>
    <w:p w14:paraId="1E291DF0" w14:textId="1FF84163" w:rsidR="0023261F" w:rsidRDefault="0023261F" w:rsidP="00B528C9">
      <w:pPr>
        <w:numPr>
          <w:ilvl w:val="0"/>
          <w:numId w:val="9"/>
        </w:numPr>
        <w:jc w:val="both"/>
      </w:pPr>
      <w:r w:rsidRPr="0023261F">
        <w:t xml:space="preserve">Incorporating these new definitions will create clarity and legal certainty for the introduction of multi-family housing types across the municipality, ensuring they are distinct from existing housing types like single-family homes or </w:t>
      </w:r>
      <w:r w:rsidR="007B57B0">
        <w:t xml:space="preserve">traditional multi-story </w:t>
      </w:r>
      <w:r w:rsidRPr="0023261F">
        <w:t>apartments.</w:t>
      </w:r>
    </w:p>
    <w:p w14:paraId="28EEB375" w14:textId="6FB58030" w:rsidR="00055192" w:rsidRPr="00055192" w:rsidRDefault="00055192" w:rsidP="00E50FAE">
      <w:pPr>
        <w:pStyle w:val="Heading4"/>
      </w:pPr>
      <w:r w:rsidRPr="00055192">
        <w:t>Article VI: Zoning District Use and Dimensional Regulations</w:t>
      </w:r>
    </w:p>
    <w:p w14:paraId="68675F86" w14:textId="77777777" w:rsidR="00055192" w:rsidRPr="00FC2F43" w:rsidRDefault="00055192" w:rsidP="00B528C9">
      <w:pPr>
        <w:pStyle w:val="ListParagraph"/>
        <w:jc w:val="both"/>
      </w:pPr>
      <w:r w:rsidRPr="00FC2F43">
        <w:t xml:space="preserve">Update Permitted Uses: Add new multi-family housing types—triplexes, fourplexes, townhouses, and live/work units—as permitted uses by right in districts such as R20, VMC, VRC, GB, and even </w:t>
      </w:r>
      <w:r w:rsidRPr="00FC2F43">
        <w:lastRenderedPageBreak/>
        <w:t>select RR zones. This will ensure that these new housing types are recognized across different zones, fostering diverse housing options.</w:t>
      </w:r>
    </w:p>
    <w:p w14:paraId="60C89795" w14:textId="77777777" w:rsidR="00055192" w:rsidRPr="00FC2F43" w:rsidRDefault="00055192" w:rsidP="00B528C9">
      <w:pPr>
        <w:pStyle w:val="ListParagraph"/>
        <w:jc w:val="both"/>
      </w:pPr>
      <w:r w:rsidRPr="00FC2F43">
        <w:t>Modify the table to permit multi-family housing types without the need for special use permits, especially in areas near existing infrastructure or along major roadways. This will encourage development in the areas where it is most practical.</w:t>
      </w:r>
    </w:p>
    <w:p w14:paraId="2AD58234" w14:textId="114A6FF3" w:rsidR="00055192" w:rsidRPr="00055192" w:rsidRDefault="00055192" w:rsidP="00073F7D">
      <w:pPr>
        <w:pStyle w:val="Heading4"/>
      </w:pPr>
      <w:r w:rsidRPr="00055192">
        <w:t>Article IX: Supplementary Regulations</w:t>
      </w:r>
    </w:p>
    <w:p w14:paraId="5BF0DEBA" w14:textId="77777777" w:rsidR="00055192" w:rsidRPr="00055192" w:rsidRDefault="00055192" w:rsidP="00B528C9">
      <w:pPr>
        <w:pStyle w:val="ListParagraph"/>
        <w:jc w:val="both"/>
      </w:pPr>
      <w:r w:rsidRPr="00E3290E">
        <w:t>Update this section to relax certain dimensional and siting requirements (e.g., setbacks, height restrictions, parking requirements) specifically for the new housing types defined in Article II (triplexes, fourplexes, townhouses, live/work units). This will ensure that these housing types can be</w:t>
      </w:r>
      <w:r w:rsidRPr="00055192">
        <w:t xml:space="preserve"> developed efficiently, without needing excessive variances or special permissions.</w:t>
      </w:r>
    </w:p>
    <w:p w14:paraId="2804AD41" w14:textId="46DC6CE5" w:rsidR="00055192" w:rsidRPr="00055192" w:rsidRDefault="00055192" w:rsidP="00B50A36">
      <w:pPr>
        <w:pStyle w:val="Heading4"/>
      </w:pPr>
      <w:r w:rsidRPr="00055192">
        <w:t>Article XIII: Residential Cluster Development</w:t>
      </w:r>
    </w:p>
    <w:p w14:paraId="5677625D" w14:textId="0D12109D" w:rsidR="00055192" w:rsidRPr="00055192" w:rsidRDefault="00055192" w:rsidP="00B528C9">
      <w:pPr>
        <w:pStyle w:val="ListParagraph"/>
        <w:jc w:val="both"/>
      </w:pPr>
      <w:r w:rsidRPr="00055192">
        <w:t xml:space="preserve">Introduce </w:t>
      </w:r>
      <w:r w:rsidR="00FC5572">
        <w:t xml:space="preserve">more flexible </w:t>
      </w:r>
      <w:r w:rsidRPr="00055192">
        <w:t xml:space="preserve">provisions that allow for clustered multi-family housing developments in RR2, RR3, and RR5. This approach would enable higher-density housing (e.g., </w:t>
      </w:r>
      <w:r w:rsidR="003B1FB7">
        <w:t xml:space="preserve">duplexes, </w:t>
      </w:r>
      <w:r w:rsidRPr="00055192">
        <w:t>triplexes, fourplexes) on large rural parcels, while preserving open space and reducing infrastructure costs. The goal is to balance rural character preservation with increased housing diversity.</w:t>
      </w:r>
    </w:p>
    <w:p w14:paraId="09EE27C0" w14:textId="60888A10" w:rsidR="00055192" w:rsidRPr="00055192" w:rsidRDefault="009D4F8F" w:rsidP="001C2E2F">
      <w:pPr>
        <w:pStyle w:val="Heading4"/>
      </w:pPr>
      <w:r w:rsidRPr="009D4F8F">
        <w:t>Subdivision and Land Development Regulations.</w:t>
      </w:r>
    </w:p>
    <w:p w14:paraId="1077A008" w14:textId="63D518BA" w:rsidR="00055192" w:rsidRPr="00E3290E" w:rsidRDefault="00055192" w:rsidP="00E359E4">
      <w:pPr>
        <w:pStyle w:val="ListParagraph"/>
        <w:jc w:val="both"/>
      </w:pPr>
      <w:r w:rsidRPr="00E3290E">
        <w:t xml:space="preserve">Expand </w:t>
      </w:r>
      <w:r w:rsidR="009D4F8F" w:rsidRPr="00E3290E">
        <w:t>the subdivision and land development regulations</w:t>
      </w:r>
      <w:r w:rsidRPr="00E3290E">
        <w:t xml:space="preserve"> to streamline the approval process for larger-scale </w:t>
      </w:r>
      <w:r w:rsidR="00E629E6" w:rsidRPr="00E3290E">
        <w:t xml:space="preserve">multi-family </w:t>
      </w:r>
      <w:r w:rsidRPr="00E3290E">
        <w:t xml:space="preserve">developments and </w:t>
      </w:r>
      <w:r w:rsidR="00E629E6" w:rsidRPr="00E3290E">
        <w:t xml:space="preserve">to </w:t>
      </w:r>
      <w:r w:rsidRPr="00E3290E">
        <w:t>ensure that multi-family units can be built in appropriate areas</w:t>
      </w:r>
      <w:r w:rsidR="009A757C" w:rsidRPr="00E3290E">
        <w:t xml:space="preserve"> while following clear and specific procedures.</w:t>
      </w:r>
    </w:p>
    <w:p w14:paraId="64A4C4DE" w14:textId="5E98245F" w:rsidR="0023261F" w:rsidRDefault="00055192" w:rsidP="00E359E4">
      <w:pPr>
        <w:pStyle w:val="ListParagraph"/>
        <w:jc w:val="both"/>
      </w:pPr>
      <w:r w:rsidRPr="00E3290E">
        <w:t>Include specific guidelines for multi-family developments in GB, VMC, and VRC zones, where mixed-use projects are more feasible and can integrate commercial activities with residential uses.</w:t>
      </w:r>
    </w:p>
    <w:p w14:paraId="17016E2E" w14:textId="09750F3E" w:rsidR="00E359E4" w:rsidRDefault="00E359E4" w:rsidP="00E359E4">
      <w:pPr>
        <w:pStyle w:val="Heading4"/>
      </w:pPr>
      <w:r>
        <w:t>Summary of Recommended Changes</w:t>
      </w:r>
    </w:p>
    <w:p w14:paraId="68442F8C" w14:textId="70288D15" w:rsidR="00A227B0" w:rsidRDefault="001A7257" w:rsidP="00E359E4">
      <w:pPr>
        <w:pStyle w:val="ListParagraph"/>
        <w:jc w:val="both"/>
      </w:pPr>
      <w:r w:rsidRPr="001A7257">
        <w:t>By making</w:t>
      </w:r>
      <w:r>
        <w:t xml:space="preserve"> </w:t>
      </w:r>
      <w:r w:rsidRPr="001A7257">
        <w:t xml:space="preserve">these targeted amendments to Coventry’s zoning ordinance, the municipality can create a framework that accommodates a wider variety of housing options while simplifying the development process for multi-family housing. </w:t>
      </w:r>
      <w:r w:rsidR="00906A20">
        <w:t>Our team</w:t>
      </w:r>
      <w:r w:rsidR="0090161A">
        <w:t xml:space="preserve"> recommend</w:t>
      </w:r>
      <w:r w:rsidR="00906A20">
        <w:t>s</w:t>
      </w:r>
      <w:r w:rsidR="0090161A">
        <w:t xml:space="preserve"> pursuing </w:t>
      </w:r>
      <w:r w:rsidR="00906A20">
        <w:t>all</w:t>
      </w:r>
      <w:r w:rsidR="0090161A">
        <w:t xml:space="preserve"> the </w:t>
      </w:r>
      <w:r w:rsidR="00FC5572">
        <w:t>strategies</w:t>
      </w:r>
      <w:r w:rsidR="00DC53BA">
        <w:t xml:space="preserve"> as outlined in this document. </w:t>
      </w:r>
      <w:r w:rsidR="00906A20">
        <w:t>These changes will define</w:t>
      </w:r>
      <w:r w:rsidRPr="001A7257">
        <w:t xml:space="preserve"> new multi-family housing types and updat</w:t>
      </w:r>
      <w:r w:rsidR="00906A20">
        <w:t>e current</w:t>
      </w:r>
      <w:r w:rsidRPr="001A7257">
        <w:t xml:space="preserve"> use regulations</w:t>
      </w:r>
      <w:r w:rsidR="00906A20">
        <w:t>, which will in turn allow for the development o</w:t>
      </w:r>
      <w:r w:rsidRPr="001A7257">
        <w:t xml:space="preserve">f </w:t>
      </w:r>
      <w:r w:rsidR="00DC53BA" w:rsidRPr="007D79AA">
        <w:t xml:space="preserve">multi-family housing </w:t>
      </w:r>
      <w:r w:rsidRPr="001A7257">
        <w:t xml:space="preserve">in </w:t>
      </w:r>
      <w:r w:rsidR="00DC53BA">
        <w:t xml:space="preserve">appropriate </w:t>
      </w:r>
      <w:r w:rsidR="007D79AA">
        <w:t xml:space="preserve">locations throughout </w:t>
      </w:r>
      <w:r w:rsidRPr="001A7257">
        <w:t>Coventry, meeting the growing demand for diverse and sustainable housing</w:t>
      </w:r>
      <w:r w:rsidR="00906A20">
        <w:t xml:space="preserve"> while also bringing hundreds of non-conforming properties into conformance with the requirements of the code of ordinance</w:t>
      </w:r>
      <w:r w:rsidRPr="001A7257">
        <w:t>.</w:t>
      </w:r>
    </w:p>
    <w:sectPr w:rsidR="00A227B0" w:rsidSect="003969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B7D6" w14:textId="77777777" w:rsidR="00160492" w:rsidRDefault="00160492" w:rsidP="00446B5B">
      <w:pPr>
        <w:spacing w:after="0" w:line="240" w:lineRule="auto"/>
      </w:pPr>
      <w:r>
        <w:separator/>
      </w:r>
    </w:p>
  </w:endnote>
  <w:endnote w:type="continuationSeparator" w:id="0">
    <w:p w14:paraId="1723CE4D" w14:textId="77777777" w:rsidR="00160492" w:rsidRDefault="00160492" w:rsidP="0044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Swis721 Blk BT">
    <w:altName w:val="Calibri"/>
    <w:charset w:val="00"/>
    <w:family w:val="swiss"/>
    <w:pitch w:val="variable"/>
    <w:sig w:usb0="00000087" w:usb1="00000000" w:usb2="00000000" w:usb3="00000000" w:csb0="0000001B" w:csb1="00000000"/>
  </w:font>
  <w:font w:name="Swis721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9F7BC2" w14:paraId="60CBE32E" w14:textId="77777777">
      <w:trPr>
        <w:jc w:val="right"/>
      </w:trPr>
      <w:tc>
        <w:tcPr>
          <w:tcW w:w="4795" w:type="dxa"/>
          <w:vAlign w:val="center"/>
        </w:tcPr>
        <w:p w14:paraId="4BD478FA" w14:textId="4E620227" w:rsidR="009F7BC2" w:rsidRPr="00B6173B" w:rsidRDefault="00B6173B" w:rsidP="00B6173B">
          <w:pPr>
            <w:pStyle w:val="Header"/>
            <w:jc w:val="right"/>
            <w:rPr>
              <w:color w:val="7F7F7F" w:themeColor="text1" w:themeTint="80"/>
            </w:rPr>
          </w:pPr>
          <w:r w:rsidRPr="00B6173B">
            <w:rPr>
              <w:color w:val="7F7F7F" w:themeColor="text1" w:themeTint="80"/>
            </w:rPr>
            <w:t>Analysis of Multi-Family Housing</w:t>
          </w:r>
        </w:p>
      </w:tc>
      <w:tc>
        <w:tcPr>
          <w:tcW w:w="250" w:type="pct"/>
          <w:shd w:val="clear" w:color="auto" w:fill="84BD00" w:themeFill="accent2"/>
          <w:vAlign w:val="center"/>
        </w:tcPr>
        <w:p w14:paraId="3131DBD9" w14:textId="77777777" w:rsidR="009F7BC2" w:rsidRPr="009F7BC2" w:rsidRDefault="009F7BC2">
          <w:pPr>
            <w:pStyle w:val="Footer"/>
            <w:tabs>
              <w:tab w:val="clear" w:pos="4680"/>
              <w:tab w:val="clear" w:pos="9360"/>
            </w:tabs>
            <w:jc w:val="center"/>
            <w:rPr>
              <w:rFonts w:asciiTheme="majorHAnsi" w:hAnsiTheme="majorHAnsi"/>
              <w:color w:val="FFFFFF" w:themeColor="background1"/>
            </w:rPr>
          </w:pPr>
          <w:r w:rsidRPr="009F7BC2">
            <w:rPr>
              <w:rFonts w:asciiTheme="majorHAnsi" w:hAnsiTheme="majorHAnsi"/>
              <w:color w:val="FFFFFF" w:themeColor="background1"/>
            </w:rPr>
            <w:fldChar w:fldCharType="begin"/>
          </w:r>
          <w:r w:rsidRPr="009F7BC2">
            <w:rPr>
              <w:rFonts w:asciiTheme="majorHAnsi" w:hAnsiTheme="majorHAnsi"/>
              <w:color w:val="FFFFFF" w:themeColor="background1"/>
            </w:rPr>
            <w:instrText xml:space="preserve"> PAGE   \* MERGEFORMAT </w:instrText>
          </w:r>
          <w:r w:rsidRPr="009F7BC2">
            <w:rPr>
              <w:rFonts w:asciiTheme="majorHAnsi" w:hAnsiTheme="majorHAnsi"/>
              <w:color w:val="FFFFFF" w:themeColor="background1"/>
            </w:rPr>
            <w:fldChar w:fldCharType="separate"/>
          </w:r>
          <w:r w:rsidRPr="009F7BC2">
            <w:rPr>
              <w:rFonts w:asciiTheme="majorHAnsi" w:hAnsiTheme="majorHAnsi"/>
              <w:noProof/>
              <w:color w:val="FFFFFF" w:themeColor="background1"/>
            </w:rPr>
            <w:t>2</w:t>
          </w:r>
          <w:r w:rsidRPr="009F7BC2">
            <w:rPr>
              <w:rFonts w:asciiTheme="majorHAnsi" w:hAnsiTheme="majorHAnsi"/>
              <w:noProof/>
              <w:color w:val="FFFFFF" w:themeColor="background1"/>
            </w:rPr>
            <w:fldChar w:fldCharType="end"/>
          </w:r>
        </w:p>
      </w:tc>
    </w:tr>
  </w:tbl>
  <w:p w14:paraId="3C9F38F4" w14:textId="3607299F" w:rsidR="00680728" w:rsidRDefault="0068072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33910" w14:textId="77777777" w:rsidR="00160492" w:rsidRDefault="00160492" w:rsidP="00446B5B">
      <w:pPr>
        <w:spacing w:after="0" w:line="240" w:lineRule="auto"/>
      </w:pPr>
      <w:r>
        <w:separator/>
      </w:r>
    </w:p>
  </w:footnote>
  <w:footnote w:type="continuationSeparator" w:id="0">
    <w:p w14:paraId="4B94FCCD" w14:textId="77777777" w:rsidR="00160492" w:rsidRDefault="00160492" w:rsidP="0044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E738" w14:textId="3DD75888" w:rsidR="00680728" w:rsidRDefault="00680728">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A5"/>
    <w:multiLevelType w:val="multilevel"/>
    <w:tmpl w:val="4038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F2D97"/>
    <w:multiLevelType w:val="multilevel"/>
    <w:tmpl w:val="BB8C7520"/>
    <w:lvl w:ilvl="0">
      <w:start w:val="1"/>
      <w:numFmt w:val="upp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06A3031"/>
    <w:multiLevelType w:val="multilevel"/>
    <w:tmpl w:val="27C40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04B41"/>
    <w:multiLevelType w:val="hybridMultilevel"/>
    <w:tmpl w:val="868C43C0"/>
    <w:lvl w:ilvl="0" w:tplc="C29C593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26395"/>
    <w:multiLevelType w:val="hybridMultilevel"/>
    <w:tmpl w:val="3EA6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76D02"/>
    <w:multiLevelType w:val="multilevel"/>
    <w:tmpl w:val="5B182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C5A25"/>
    <w:multiLevelType w:val="multilevel"/>
    <w:tmpl w:val="0AA6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F1244"/>
    <w:multiLevelType w:val="multilevel"/>
    <w:tmpl w:val="C368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F3E3E"/>
    <w:multiLevelType w:val="multilevel"/>
    <w:tmpl w:val="17C8A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D3302"/>
    <w:multiLevelType w:val="hybridMultilevel"/>
    <w:tmpl w:val="95963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F6FFB"/>
    <w:multiLevelType w:val="multilevel"/>
    <w:tmpl w:val="1A0A5932"/>
    <w:styleLink w:val="CoventryZoningListStyle"/>
    <w:lvl w:ilvl="0">
      <w:start w:val="1"/>
      <w:numFmt w:val="none"/>
      <w:pStyle w:val="Heading1"/>
      <w:suff w:val="nothing"/>
      <w:lvlText w:val=""/>
      <w:lvlJc w:val="left"/>
      <w:pPr>
        <w:ind w:left="0" w:firstLine="0"/>
      </w:pPr>
      <w:rPr>
        <w:rFonts w:hint="default"/>
      </w:rPr>
    </w:lvl>
    <w:lvl w:ilvl="1">
      <w:start w:val="1"/>
      <w:numFmt w:val="decimal"/>
      <w:pStyle w:val="Heading2"/>
      <w:suff w:val="space"/>
      <w:lvlText w:val="%2."/>
      <w:lvlJc w:val="left"/>
      <w:pPr>
        <w:ind w:left="360" w:hanging="360"/>
      </w:pPr>
      <w:rPr>
        <w:rFonts w:hint="default"/>
      </w:rPr>
    </w:lvl>
    <w:lvl w:ilvl="2">
      <w:start w:val="1"/>
      <w:numFmt w:val="upperLetter"/>
      <w:pStyle w:val="Heading3"/>
      <w:suff w:val="space"/>
      <w:lvlText w:val="%3."/>
      <w:lvlJc w:val="left"/>
      <w:pPr>
        <w:ind w:left="360" w:hanging="360"/>
      </w:pPr>
      <w:rPr>
        <w:rFonts w:hint="default"/>
      </w:rPr>
    </w:lvl>
    <w:lvl w:ilvl="3">
      <w:start w:val="1"/>
      <w:numFmt w:val="none"/>
      <w:pStyle w:val="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D737109"/>
    <w:multiLevelType w:val="multilevel"/>
    <w:tmpl w:val="57F0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470D3"/>
    <w:multiLevelType w:val="multilevel"/>
    <w:tmpl w:val="36C0D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10"/>
  </w:num>
  <w:num w:numId="5">
    <w:abstractNumId w:val="10"/>
  </w:num>
  <w:num w:numId="6">
    <w:abstractNumId w:val="3"/>
  </w:num>
  <w:num w:numId="7">
    <w:abstractNumId w:val="0"/>
  </w:num>
  <w:num w:numId="8">
    <w:abstractNumId w:val="7"/>
  </w:num>
  <w:num w:numId="9">
    <w:abstractNumId w:val="8"/>
  </w:num>
  <w:num w:numId="10">
    <w:abstractNumId w:val="11"/>
  </w:num>
  <w:num w:numId="11">
    <w:abstractNumId w:val="12"/>
  </w:num>
  <w:num w:numId="12">
    <w:abstractNumId w:val="6"/>
  </w:num>
  <w:num w:numId="13">
    <w:abstractNumId w:val="5"/>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07"/>
    <w:rsid w:val="000013DF"/>
    <w:rsid w:val="000025D1"/>
    <w:rsid w:val="0000406B"/>
    <w:rsid w:val="00032443"/>
    <w:rsid w:val="00033020"/>
    <w:rsid w:val="000353E9"/>
    <w:rsid w:val="00043849"/>
    <w:rsid w:val="000477FA"/>
    <w:rsid w:val="00055192"/>
    <w:rsid w:val="00060484"/>
    <w:rsid w:val="000655AE"/>
    <w:rsid w:val="0009513B"/>
    <w:rsid w:val="00095AE5"/>
    <w:rsid w:val="000A5809"/>
    <w:rsid w:val="000A6FF7"/>
    <w:rsid w:val="000B1E05"/>
    <w:rsid w:val="000C03F3"/>
    <w:rsid w:val="000C386B"/>
    <w:rsid w:val="000C658A"/>
    <w:rsid w:val="000F0845"/>
    <w:rsid w:val="000F738A"/>
    <w:rsid w:val="0010720F"/>
    <w:rsid w:val="0012399B"/>
    <w:rsid w:val="00143076"/>
    <w:rsid w:val="00160492"/>
    <w:rsid w:val="00164760"/>
    <w:rsid w:val="00170D9D"/>
    <w:rsid w:val="0019115A"/>
    <w:rsid w:val="001A14B0"/>
    <w:rsid w:val="001A1C0F"/>
    <w:rsid w:val="001A2DA2"/>
    <w:rsid w:val="001A7257"/>
    <w:rsid w:val="001A7AF6"/>
    <w:rsid w:val="001B0820"/>
    <w:rsid w:val="001B2ECC"/>
    <w:rsid w:val="001B313E"/>
    <w:rsid w:val="001C1578"/>
    <w:rsid w:val="001C1B95"/>
    <w:rsid w:val="001D6319"/>
    <w:rsid w:val="001F294D"/>
    <w:rsid w:val="001F3221"/>
    <w:rsid w:val="0021278F"/>
    <w:rsid w:val="00220C20"/>
    <w:rsid w:val="002274D4"/>
    <w:rsid w:val="0023261F"/>
    <w:rsid w:val="002356FE"/>
    <w:rsid w:val="00240C93"/>
    <w:rsid w:val="00262CD6"/>
    <w:rsid w:val="00274022"/>
    <w:rsid w:val="00286402"/>
    <w:rsid w:val="002B2243"/>
    <w:rsid w:val="002B4A84"/>
    <w:rsid w:val="002B65FD"/>
    <w:rsid w:val="002C4493"/>
    <w:rsid w:val="002C4543"/>
    <w:rsid w:val="002D7DAB"/>
    <w:rsid w:val="002E6F74"/>
    <w:rsid w:val="002E7C5C"/>
    <w:rsid w:val="002F6EE6"/>
    <w:rsid w:val="00300A0C"/>
    <w:rsid w:val="00302025"/>
    <w:rsid w:val="003056AC"/>
    <w:rsid w:val="0030657B"/>
    <w:rsid w:val="0032451B"/>
    <w:rsid w:val="00326642"/>
    <w:rsid w:val="00334228"/>
    <w:rsid w:val="00340AE4"/>
    <w:rsid w:val="00342DC2"/>
    <w:rsid w:val="0035627C"/>
    <w:rsid w:val="00371EF7"/>
    <w:rsid w:val="003723DC"/>
    <w:rsid w:val="003832C0"/>
    <w:rsid w:val="0039693C"/>
    <w:rsid w:val="003B1252"/>
    <w:rsid w:val="003B1414"/>
    <w:rsid w:val="003B1FB7"/>
    <w:rsid w:val="003B3CF1"/>
    <w:rsid w:val="003C4FC9"/>
    <w:rsid w:val="003F1F2A"/>
    <w:rsid w:val="00411DAA"/>
    <w:rsid w:val="00415E36"/>
    <w:rsid w:val="004256EC"/>
    <w:rsid w:val="00446B5B"/>
    <w:rsid w:val="004505BC"/>
    <w:rsid w:val="004613C9"/>
    <w:rsid w:val="0046386E"/>
    <w:rsid w:val="00480CB2"/>
    <w:rsid w:val="004C0E07"/>
    <w:rsid w:val="004C3153"/>
    <w:rsid w:val="004D282B"/>
    <w:rsid w:val="004E18A6"/>
    <w:rsid w:val="00503C98"/>
    <w:rsid w:val="00504040"/>
    <w:rsid w:val="00521F33"/>
    <w:rsid w:val="0052261D"/>
    <w:rsid w:val="005315A5"/>
    <w:rsid w:val="00543D6E"/>
    <w:rsid w:val="00545B5C"/>
    <w:rsid w:val="005668F6"/>
    <w:rsid w:val="005717F1"/>
    <w:rsid w:val="0058691A"/>
    <w:rsid w:val="00595E72"/>
    <w:rsid w:val="005D0040"/>
    <w:rsid w:val="005D0422"/>
    <w:rsid w:val="005D7744"/>
    <w:rsid w:val="005F2DE0"/>
    <w:rsid w:val="005F48E0"/>
    <w:rsid w:val="00601B23"/>
    <w:rsid w:val="00615803"/>
    <w:rsid w:val="006177C6"/>
    <w:rsid w:val="006206AB"/>
    <w:rsid w:val="00625680"/>
    <w:rsid w:val="00633686"/>
    <w:rsid w:val="00637411"/>
    <w:rsid w:val="006411C9"/>
    <w:rsid w:val="00645A28"/>
    <w:rsid w:val="00680728"/>
    <w:rsid w:val="00694A64"/>
    <w:rsid w:val="006974A4"/>
    <w:rsid w:val="006A5239"/>
    <w:rsid w:val="006B035B"/>
    <w:rsid w:val="006B3D89"/>
    <w:rsid w:val="006B7AEB"/>
    <w:rsid w:val="006E3006"/>
    <w:rsid w:val="00705277"/>
    <w:rsid w:val="00716AF6"/>
    <w:rsid w:val="00734D1F"/>
    <w:rsid w:val="00743C1D"/>
    <w:rsid w:val="00745419"/>
    <w:rsid w:val="0076602F"/>
    <w:rsid w:val="00771A25"/>
    <w:rsid w:val="00772632"/>
    <w:rsid w:val="00776560"/>
    <w:rsid w:val="007821DA"/>
    <w:rsid w:val="00786959"/>
    <w:rsid w:val="007A342E"/>
    <w:rsid w:val="007B57B0"/>
    <w:rsid w:val="007B6C4D"/>
    <w:rsid w:val="007B7AB9"/>
    <w:rsid w:val="007C24E9"/>
    <w:rsid w:val="007C633E"/>
    <w:rsid w:val="007D79AA"/>
    <w:rsid w:val="008315D1"/>
    <w:rsid w:val="00845FA1"/>
    <w:rsid w:val="008551FC"/>
    <w:rsid w:val="00863EC0"/>
    <w:rsid w:val="008734C6"/>
    <w:rsid w:val="00877DDA"/>
    <w:rsid w:val="00880B27"/>
    <w:rsid w:val="00894D3F"/>
    <w:rsid w:val="008956EA"/>
    <w:rsid w:val="00896BD6"/>
    <w:rsid w:val="008A1A23"/>
    <w:rsid w:val="008A4348"/>
    <w:rsid w:val="008B44A5"/>
    <w:rsid w:val="008B6163"/>
    <w:rsid w:val="008C7FCF"/>
    <w:rsid w:val="008D59B6"/>
    <w:rsid w:val="008D5F22"/>
    <w:rsid w:val="0090161A"/>
    <w:rsid w:val="00906A20"/>
    <w:rsid w:val="00907442"/>
    <w:rsid w:val="00916343"/>
    <w:rsid w:val="009207EF"/>
    <w:rsid w:val="009234AB"/>
    <w:rsid w:val="009469B7"/>
    <w:rsid w:val="009541DE"/>
    <w:rsid w:val="00962482"/>
    <w:rsid w:val="00973364"/>
    <w:rsid w:val="009741CD"/>
    <w:rsid w:val="009747C1"/>
    <w:rsid w:val="009816F3"/>
    <w:rsid w:val="009834B5"/>
    <w:rsid w:val="00987702"/>
    <w:rsid w:val="00997EF9"/>
    <w:rsid w:val="009A757C"/>
    <w:rsid w:val="009D4F8F"/>
    <w:rsid w:val="009D6D90"/>
    <w:rsid w:val="009E1789"/>
    <w:rsid w:val="009E479F"/>
    <w:rsid w:val="009F7BC2"/>
    <w:rsid w:val="00A00B83"/>
    <w:rsid w:val="00A05856"/>
    <w:rsid w:val="00A07BC5"/>
    <w:rsid w:val="00A227B0"/>
    <w:rsid w:val="00A23AB5"/>
    <w:rsid w:val="00A36D4C"/>
    <w:rsid w:val="00A467A5"/>
    <w:rsid w:val="00A47977"/>
    <w:rsid w:val="00A50379"/>
    <w:rsid w:val="00A530FE"/>
    <w:rsid w:val="00A55892"/>
    <w:rsid w:val="00A562D5"/>
    <w:rsid w:val="00A71695"/>
    <w:rsid w:val="00A84C22"/>
    <w:rsid w:val="00A84D7E"/>
    <w:rsid w:val="00AA26A9"/>
    <w:rsid w:val="00AA2CFC"/>
    <w:rsid w:val="00AC3969"/>
    <w:rsid w:val="00AC67DD"/>
    <w:rsid w:val="00AD78DC"/>
    <w:rsid w:val="00AF18A0"/>
    <w:rsid w:val="00B01284"/>
    <w:rsid w:val="00B04E39"/>
    <w:rsid w:val="00B05182"/>
    <w:rsid w:val="00B24E5B"/>
    <w:rsid w:val="00B314CA"/>
    <w:rsid w:val="00B443ED"/>
    <w:rsid w:val="00B44A97"/>
    <w:rsid w:val="00B528C9"/>
    <w:rsid w:val="00B57DD9"/>
    <w:rsid w:val="00B6173B"/>
    <w:rsid w:val="00B7680C"/>
    <w:rsid w:val="00B93636"/>
    <w:rsid w:val="00BB11F5"/>
    <w:rsid w:val="00BB7176"/>
    <w:rsid w:val="00BB7FAE"/>
    <w:rsid w:val="00BD4BC7"/>
    <w:rsid w:val="00BE4710"/>
    <w:rsid w:val="00BE681D"/>
    <w:rsid w:val="00BE781A"/>
    <w:rsid w:val="00BE7BFC"/>
    <w:rsid w:val="00BF32AA"/>
    <w:rsid w:val="00BF53B8"/>
    <w:rsid w:val="00C1399C"/>
    <w:rsid w:val="00C16A5A"/>
    <w:rsid w:val="00C22390"/>
    <w:rsid w:val="00C303E2"/>
    <w:rsid w:val="00C369AE"/>
    <w:rsid w:val="00C50ECB"/>
    <w:rsid w:val="00C56496"/>
    <w:rsid w:val="00C62217"/>
    <w:rsid w:val="00C65D65"/>
    <w:rsid w:val="00C80D39"/>
    <w:rsid w:val="00C95BEA"/>
    <w:rsid w:val="00CA2FA0"/>
    <w:rsid w:val="00CA4779"/>
    <w:rsid w:val="00CB1FE0"/>
    <w:rsid w:val="00CB6A3A"/>
    <w:rsid w:val="00CC3B1A"/>
    <w:rsid w:val="00CC4A95"/>
    <w:rsid w:val="00CE5B22"/>
    <w:rsid w:val="00CE73E4"/>
    <w:rsid w:val="00D020B5"/>
    <w:rsid w:val="00D13EBE"/>
    <w:rsid w:val="00D20BDF"/>
    <w:rsid w:val="00D21A65"/>
    <w:rsid w:val="00D21E0E"/>
    <w:rsid w:val="00D22ECC"/>
    <w:rsid w:val="00D33230"/>
    <w:rsid w:val="00D379F3"/>
    <w:rsid w:val="00D65246"/>
    <w:rsid w:val="00D666D8"/>
    <w:rsid w:val="00D75BCC"/>
    <w:rsid w:val="00D825BE"/>
    <w:rsid w:val="00D86AC1"/>
    <w:rsid w:val="00D97D01"/>
    <w:rsid w:val="00DB2AB5"/>
    <w:rsid w:val="00DB3001"/>
    <w:rsid w:val="00DC53BA"/>
    <w:rsid w:val="00DC73E8"/>
    <w:rsid w:val="00DD4ACD"/>
    <w:rsid w:val="00DD73B2"/>
    <w:rsid w:val="00DE21C0"/>
    <w:rsid w:val="00DF03F7"/>
    <w:rsid w:val="00E107FD"/>
    <w:rsid w:val="00E3290E"/>
    <w:rsid w:val="00E359E4"/>
    <w:rsid w:val="00E406C2"/>
    <w:rsid w:val="00E52B04"/>
    <w:rsid w:val="00E629E6"/>
    <w:rsid w:val="00E70E49"/>
    <w:rsid w:val="00E74B0B"/>
    <w:rsid w:val="00E84601"/>
    <w:rsid w:val="00E92228"/>
    <w:rsid w:val="00E94647"/>
    <w:rsid w:val="00E9794C"/>
    <w:rsid w:val="00EA0581"/>
    <w:rsid w:val="00EA3598"/>
    <w:rsid w:val="00EA5973"/>
    <w:rsid w:val="00EA787F"/>
    <w:rsid w:val="00EB5771"/>
    <w:rsid w:val="00EC1345"/>
    <w:rsid w:val="00ED2E3D"/>
    <w:rsid w:val="00ED382F"/>
    <w:rsid w:val="00EE09EB"/>
    <w:rsid w:val="00EE64C7"/>
    <w:rsid w:val="00EF19EE"/>
    <w:rsid w:val="00EF29FB"/>
    <w:rsid w:val="00F07716"/>
    <w:rsid w:val="00F41AE3"/>
    <w:rsid w:val="00F53EB1"/>
    <w:rsid w:val="00F561B2"/>
    <w:rsid w:val="00F61B7D"/>
    <w:rsid w:val="00F65E80"/>
    <w:rsid w:val="00F66A82"/>
    <w:rsid w:val="00F66DE9"/>
    <w:rsid w:val="00F72E63"/>
    <w:rsid w:val="00F738FB"/>
    <w:rsid w:val="00F80D5A"/>
    <w:rsid w:val="00F86E84"/>
    <w:rsid w:val="00F874F1"/>
    <w:rsid w:val="00F97989"/>
    <w:rsid w:val="00FB0EB8"/>
    <w:rsid w:val="00FC0113"/>
    <w:rsid w:val="00FC2F43"/>
    <w:rsid w:val="00FC5572"/>
    <w:rsid w:val="00FF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37D36"/>
  <w15:chartTrackingRefBased/>
  <w15:docId w15:val="{90A97B37-B358-4A13-9093-2CC9DB47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5A5"/>
    <w:rPr>
      <w:sz w:val="22"/>
    </w:rPr>
  </w:style>
  <w:style w:type="paragraph" w:styleId="Heading1">
    <w:name w:val="heading 1"/>
    <w:next w:val="Normal"/>
    <w:link w:val="Heading1Char"/>
    <w:uiPriority w:val="9"/>
    <w:qFormat/>
    <w:rsid w:val="00D97D01"/>
    <w:pPr>
      <w:keepNext/>
      <w:keepLines/>
      <w:numPr>
        <w:numId w:val="5"/>
      </w:numPr>
      <w:pBdr>
        <w:top w:val="single" w:sz="48" w:space="1" w:color="041E42" w:themeColor="accent6"/>
        <w:left w:val="single" w:sz="48" w:space="4" w:color="041E42" w:themeColor="accent6"/>
        <w:bottom w:val="single" w:sz="48" w:space="1" w:color="041E42" w:themeColor="accent6"/>
        <w:right w:val="single" w:sz="48" w:space="4" w:color="041E42" w:themeColor="accent6"/>
      </w:pBdr>
      <w:shd w:val="clear" w:color="auto" w:fill="041E42" w:themeFill="accent6"/>
      <w:spacing w:after="240"/>
      <w:jc w:val="center"/>
      <w:outlineLvl w:val="0"/>
    </w:pPr>
    <w:rPr>
      <w:rFonts w:asciiTheme="majorHAnsi" w:eastAsiaTheme="majorEastAsia" w:hAnsiTheme="majorHAnsi" w:cstheme="majorBidi"/>
      <w:color w:val="FFFFFF" w:themeColor="background1"/>
      <w:sz w:val="48"/>
      <w:szCs w:val="40"/>
    </w:rPr>
  </w:style>
  <w:style w:type="paragraph" w:styleId="Heading2">
    <w:name w:val="heading 2"/>
    <w:next w:val="Normal"/>
    <w:link w:val="Heading2Char"/>
    <w:uiPriority w:val="9"/>
    <w:unhideWhenUsed/>
    <w:qFormat/>
    <w:rsid w:val="00D97D01"/>
    <w:pPr>
      <w:keepNext/>
      <w:keepLines/>
      <w:numPr>
        <w:ilvl w:val="1"/>
        <w:numId w:val="5"/>
      </w:numPr>
      <w:pBdr>
        <w:bottom w:val="single" w:sz="2" w:space="1" w:color="041E42" w:themeColor="accent6"/>
      </w:pBdr>
      <w:spacing w:before="240" w:after="240"/>
      <w:outlineLvl w:val="1"/>
    </w:pPr>
    <w:rPr>
      <w:rFonts w:asciiTheme="majorHAnsi" w:eastAsiaTheme="majorEastAsia" w:hAnsiTheme="majorHAnsi" w:cstheme="majorBidi"/>
      <w:color w:val="041E42" w:themeColor="accent6"/>
      <w:sz w:val="36"/>
      <w:szCs w:val="32"/>
    </w:rPr>
  </w:style>
  <w:style w:type="paragraph" w:styleId="Heading3">
    <w:name w:val="heading 3"/>
    <w:next w:val="Normal"/>
    <w:link w:val="Heading3Char"/>
    <w:uiPriority w:val="9"/>
    <w:unhideWhenUsed/>
    <w:qFormat/>
    <w:rsid w:val="00D97D01"/>
    <w:pPr>
      <w:keepNext/>
      <w:keepLines/>
      <w:numPr>
        <w:ilvl w:val="2"/>
        <w:numId w:val="5"/>
      </w:numPr>
      <w:spacing w:before="120" w:after="120"/>
      <w:outlineLvl w:val="2"/>
    </w:pPr>
    <w:rPr>
      <w:rFonts w:ascii="Swis721 BT" w:eastAsiaTheme="majorEastAsia" w:hAnsi="Swis721 BT" w:cstheme="majorBidi"/>
      <w:b/>
      <w:color w:val="0067A0" w:themeColor="accent1"/>
      <w:sz w:val="28"/>
      <w:szCs w:val="28"/>
    </w:rPr>
  </w:style>
  <w:style w:type="paragraph" w:styleId="Heading4">
    <w:name w:val="heading 4"/>
    <w:next w:val="Normal"/>
    <w:link w:val="Heading4Char"/>
    <w:uiPriority w:val="9"/>
    <w:unhideWhenUsed/>
    <w:qFormat/>
    <w:rsid w:val="00D97D01"/>
    <w:pPr>
      <w:keepNext/>
      <w:keepLines/>
      <w:numPr>
        <w:ilvl w:val="3"/>
        <w:numId w:val="5"/>
      </w:numPr>
      <w:spacing w:before="120" w:after="120"/>
      <w:outlineLvl w:val="3"/>
    </w:pPr>
    <w:rPr>
      <w:rFonts w:ascii="Swis721 BT" w:eastAsiaTheme="majorEastAsia" w:hAnsi="Swis721 BT" w:cstheme="majorBidi"/>
      <w:i/>
      <w:iCs/>
      <w:color w:val="0067A0" w:themeColor="accent1"/>
      <w:sz w:val="22"/>
    </w:rPr>
  </w:style>
  <w:style w:type="paragraph" w:styleId="Heading5">
    <w:name w:val="heading 5"/>
    <w:basedOn w:val="Normal"/>
    <w:next w:val="Normal"/>
    <w:link w:val="Heading5Char"/>
    <w:uiPriority w:val="9"/>
    <w:unhideWhenUsed/>
    <w:qFormat/>
    <w:rsid w:val="00D97D01"/>
    <w:pPr>
      <w:ind w:left="360"/>
      <w:outlineLvl w:val="4"/>
    </w:pPr>
    <w:rPr>
      <w:color w:val="0067A0" w:themeColor="accent1"/>
    </w:rPr>
  </w:style>
  <w:style w:type="paragraph" w:styleId="Heading6">
    <w:name w:val="heading 6"/>
    <w:basedOn w:val="Normal"/>
    <w:next w:val="Normal"/>
    <w:link w:val="Heading6Char"/>
    <w:uiPriority w:val="9"/>
    <w:semiHidden/>
    <w:unhideWhenUsed/>
    <w:rsid w:val="00D97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01"/>
    <w:rPr>
      <w:rFonts w:asciiTheme="majorHAnsi" w:eastAsiaTheme="majorEastAsia" w:hAnsiTheme="majorHAnsi" w:cstheme="majorBidi"/>
      <w:color w:val="FFFFFF" w:themeColor="background1"/>
      <w:sz w:val="48"/>
      <w:szCs w:val="40"/>
      <w:shd w:val="clear" w:color="auto" w:fill="041E42" w:themeFill="accent6"/>
    </w:rPr>
  </w:style>
  <w:style w:type="character" w:customStyle="1" w:styleId="Heading2Char">
    <w:name w:val="Heading 2 Char"/>
    <w:basedOn w:val="DefaultParagraphFont"/>
    <w:link w:val="Heading2"/>
    <w:uiPriority w:val="9"/>
    <w:rsid w:val="00D97D01"/>
    <w:rPr>
      <w:rFonts w:asciiTheme="majorHAnsi" w:eastAsiaTheme="majorEastAsia" w:hAnsiTheme="majorHAnsi" w:cstheme="majorBidi"/>
      <w:color w:val="041E42" w:themeColor="accent6"/>
      <w:sz w:val="36"/>
      <w:szCs w:val="32"/>
    </w:rPr>
  </w:style>
  <w:style w:type="character" w:customStyle="1" w:styleId="Heading3Char">
    <w:name w:val="Heading 3 Char"/>
    <w:basedOn w:val="DefaultParagraphFont"/>
    <w:link w:val="Heading3"/>
    <w:uiPriority w:val="9"/>
    <w:rsid w:val="00D97D01"/>
    <w:rPr>
      <w:rFonts w:ascii="Swis721 BT" w:eastAsiaTheme="majorEastAsia" w:hAnsi="Swis721 BT" w:cstheme="majorBidi"/>
      <w:b/>
      <w:color w:val="0067A0" w:themeColor="accent1"/>
      <w:sz w:val="28"/>
      <w:szCs w:val="28"/>
    </w:rPr>
  </w:style>
  <w:style w:type="character" w:customStyle="1" w:styleId="Heading4Char">
    <w:name w:val="Heading 4 Char"/>
    <w:basedOn w:val="DefaultParagraphFont"/>
    <w:link w:val="Heading4"/>
    <w:uiPriority w:val="9"/>
    <w:rsid w:val="00D97D01"/>
    <w:rPr>
      <w:rFonts w:ascii="Swis721 BT" w:eastAsiaTheme="majorEastAsia" w:hAnsi="Swis721 BT" w:cstheme="majorBidi"/>
      <w:i/>
      <w:iCs/>
      <w:color w:val="0067A0" w:themeColor="accent1"/>
      <w:sz w:val="22"/>
    </w:rPr>
  </w:style>
  <w:style w:type="character" w:customStyle="1" w:styleId="Heading5Char">
    <w:name w:val="Heading 5 Char"/>
    <w:basedOn w:val="DefaultParagraphFont"/>
    <w:link w:val="Heading5"/>
    <w:uiPriority w:val="9"/>
    <w:rsid w:val="00D97D01"/>
    <w:rPr>
      <w:color w:val="0067A0" w:themeColor="accent1"/>
      <w:sz w:val="22"/>
    </w:rPr>
  </w:style>
  <w:style w:type="character" w:customStyle="1" w:styleId="Heading6Char">
    <w:name w:val="Heading 6 Char"/>
    <w:basedOn w:val="DefaultParagraphFont"/>
    <w:link w:val="Heading6"/>
    <w:uiPriority w:val="9"/>
    <w:semiHidden/>
    <w:rsid w:val="00D97D01"/>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D97D01"/>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D97D01"/>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D97D01"/>
    <w:rPr>
      <w:rFonts w:eastAsiaTheme="majorEastAsia" w:cstheme="majorBidi"/>
      <w:color w:val="272727" w:themeColor="text1" w:themeTint="D8"/>
      <w:sz w:val="22"/>
    </w:rPr>
  </w:style>
  <w:style w:type="paragraph" w:styleId="Title">
    <w:name w:val="Title"/>
    <w:basedOn w:val="Normal"/>
    <w:next w:val="Normal"/>
    <w:link w:val="TitleChar"/>
    <w:uiPriority w:val="10"/>
    <w:rsid w:val="00D97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97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D97D01"/>
    <w:pPr>
      <w:spacing w:before="160"/>
      <w:jc w:val="center"/>
    </w:pPr>
    <w:rPr>
      <w:i/>
      <w:iCs/>
      <w:color w:val="404040" w:themeColor="text1" w:themeTint="BF"/>
    </w:rPr>
  </w:style>
  <w:style w:type="character" w:customStyle="1" w:styleId="QuoteChar">
    <w:name w:val="Quote Char"/>
    <w:basedOn w:val="DefaultParagraphFont"/>
    <w:link w:val="Quote"/>
    <w:uiPriority w:val="29"/>
    <w:rsid w:val="00D97D01"/>
    <w:rPr>
      <w:i/>
      <w:iCs/>
      <w:color w:val="404040" w:themeColor="text1" w:themeTint="BF"/>
      <w:sz w:val="22"/>
    </w:rPr>
  </w:style>
  <w:style w:type="paragraph" w:styleId="ListParagraph">
    <w:name w:val="List Paragraph"/>
    <w:link w:val="ListParagraphChar"/>
    <w:uiPriority w:val="1"/>
    <w:qFormat/>
    <w:rsid w:val="00D97D01"/>
    <w:pPr>
      <w:numPr>
        <w:numId w:val="6"/>
      </w:numPr>
      <w:spacing w:before="120" w:after="120"/>
      <w:contextualSpacing/>
    </w:pPr>
    <w:rPr>
      <w:sz w:val="22"/>
    </w:rPr>
  </w:style>
  <w:style w:type="character" w:styleId="IntenseEmphasis">
    <w:name w:val="Intense Emphasis"/>
    <w:basedOn w:val="DefaultParagraphFont"/>
    <w:uiPriority w:val="21"/>
    <w:rsid w:val="00D97D01"/>
    <w:rPr>
      <w:i/>
      <w:iCs/>
      <w:color w:val="004C77" w:themeColor="accent1" w:themeShade="BF"/>
    </w:rPr>
  </w:style>
  <w:style w:type="paragraph" w:styleId="IntenseQuote">
    <w:name w:val="Intense Quote"/>
    <w:basedOn w:val="Normal"/>
    <w:next w:val="Normal"/>
    <w:link w:val="IntenseQuoteChar"/>
    <w:uiPriority w:val="30"/>
    <w:rsid w:val="00D97D01"/>
    <w:pPr>
      <w:pBdr>
        <w:top w:val="single" w:sz="4" w:space="10" w:color="004C77" w:themeColor="accent1" w:themeShade="BF"/>
        <w:bottom w:val="single" w:sz="4" w:space="10" w:color="004C77" w:themeColor="accent1" w:themeShade="BF"/>
      </w:pBdr>
      <w:spacing w:before="360" w:after="360"/>
      <w:ind w:left="864" w:right="864"/>
      <w:jc w:val="center"/>
    </w:pPr>
    <w:rPr>
      <w:i/>
      <w:iCs/>
      <w:color w:val="004C77" w:themeColor="accent1" w:themeShade="BF"/>
    </w:rPr>
  </w:style>
  <w:style w:type="character" w:customStyle="1" w:styleId="IntenseQuoteChar">
    <w:name w:val="Intense Quote Char"/>
    <w:basedOn w:val="DefaultParagraphFont"/>
    <w:link w:val="IntenseQuote"/>
    <w:uiPriority w:val="30"/>
    <w:rsid w:val="00D97D01"/>
    <w:rPr>
      <w:i/>
      <w:iCs/>
      <w:color w:val="004C77" w:themeColor="accent1" w:themeShade="BF"/>
      <w:sz w:val="22"/>
    </w:rPr>
  </w:style>
  <w:style w:type="character" w:styleId="IntenseReference">
    <w:name w:val="Intense Reference"/>
    <w:basedOn w:val="DefaultParagraphFont"/>
    <w:uiPriority w:val="32"/>
    <w:rsid w:val="00D97D01"/>
    <w:rPr>
      <w:b/>
      <w:bCs/>
      <w:smallCaps/>
      <w:color w:val="004C77" w:themeColor="accent1" w:themeShade="BF"/>
      <w:spacing w:val="5"/>
    </w:rPr>
  </w:style>
  <w:style w:type="paragraph" w:styleId="BodyText">
    <w:name w:val="Body Text"/>
    <w:basedOn w:val="Normal"/>
    <w:link w:val="BodyTextChar"/>
    <w:uiPriority w:val="1"/>
    <w:rsid w:val="00D97D01"/>
    <w:pPr>
      <w:widowControl w:val="0"/>
      <w:autoSpaceDE w:val="0"/>
      <w:autoSpaceDN w:val="0"/>
      <w:spacing w:before="180"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D97D01"/>
    <w:rPr>
      <w:rFonts w:ascii="Times New Roman" w:eastAsia="Times New Roman" w:hAnsi="Times New Roman" w:cs="Times New Roman"/>
      <w:kern w:val="0"/>
      <w:sz w:val="22"/>
      <w14:ligatures w14:val="none"/>
    </w:rPr>
  </w:style>
  <w:style w:type="character" w:styleId="Hyperlink">
    <w:name w:val="Hyperlink"/>
    <w:basedOn w:val="DefaultParagraphFont"/>
    <w:uiPriority w:val="99"/>
    <w:unhideWhenUsed/>
    <w:rsid w:val="00D97D01"/>
    <w:rPr>
      <w:color w:val="0563C1" w:themeColor="hyperlink"/>
      <w:u w:val="single"/>
    </w:rPr>
  </w:style>
  <w:style w:type="character" w:styleId="UnresolvedMention">
    <w:name w:val="Unresolved Mention"/>
    <w:basedOn w:val="DefaultParagraphFont"/>
    <w:uiPriority w:val="99"/>
    <w:semiHidden/>
    <w:unhideWhenUsed/>
    <w:rsid w:val="00D97D01"/>
    <w:rPr>
      <w:color w:val="605E5C"/>
      <w:shd w:val="clear" w:color="auto" w:fill="E1DFDD"/>
    </w:rPr>
  </w:style>
  <w:style w:type="character" w:styleId="FollowedHyperlink">
    <w:name w:val="FollowedHyperlink"/>
    <w:basedOn w:val="DefaultParagraphFont"/>
    <w:uiPriority w:val="99"/>
    <w:semiHidden/>
    <w:unhideWhenUsed/>
    <w:rsid w:val="00EA0581"/>
    <w:rPr>
      <w:color w:val="954F72" w:themeColor="followedHyperlink"/>
      <w:u w:val="single"/>
    </w:rPr>
  </w:style>
  <w:style w:type="character" w:styleId="CommentReference">
    <w:name w:val="annotation reference"/>
    <w:basedOn w:val="DefaultParagraphFont"/>
    <w:uiPriority w:val="99"/>
    <w:semiHidden/>
    <w:unhideWhenUsed/>
    <w:rsid w:val="00D97D01"/>
    <w:rPr>
      <w:sz w:val="16"/>
      <w:szCs w:val="16"/>
    </w:rPr>
  </w:style>
  <w:style w:type="paragraph" w:styleId="CommentText">
    <w:name w:val="annotation text"/>
    <w:basedOn w:val="Normal"/>
    <w:link w:val="CommentTextChar"/>
    <w:uiPriority w:val="99"/>
    <w:unhideWhenUsed/>
    <w:rsid w:val="00D97D01"/>
    <w:pPr>
      <w:spacing w:line="240" w:lineRule="auto"/>
    </w:pPr>
    <w:rPr>
      <w:sz w:val="20"/>
      <w:szCs w:val="20"/>
    </w:rPr>
  </w:style>
  <w:style w:type="character" w:customStyle="1" w:styleId="CommentTextChar">
    <w:name w:val="Comment Text Char"/>
    <w:basedOn w:val="DefaultParagraphFont"/>
    <w:link w:val="CommentText"/>
    <w:uiPriority w:val="99"/>
    <w:rsid w:val="00D97D01"/>
    <w:rPr>
      <w:sz w:val="20"/>
      <w:szCs w:val="20"/>
    </w:rPr>
  </w:style>
  <w:style w:type="paragraph" w:styleId="Header">
    <w:name w:val="header"/>
    <w:basedOn w:val="Normal"/>
    <w:link w:val="HeaderChar"/>
    <w:uiPriority w:val="99"/>
    <w:unhideWhenUsed/>
    <w:rsid w:val="00D9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01"/>
    <w:rPr>
      <w:sz w:val="22"/>
    </w:rPr>
  </w:style>
  <w:style w:type="paragraph" w:styleId="Footer">
    <w:name w:val="footer"/>
    <w:basedOn w:val="Normal"/>
    <w:link w:val="FooterChar"/>
    <w:uiPriority w:val="99"/>
    <w:unhideWhenUsed/>
    <w:rsid w:val="00D9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01"/>
    <w:rPr>
      <w:sz w:val="22"/>
    </w:rPr>
  </w:style>
  <w:style w:type="paragraph" w:styleId="NormalWeb">
    <w:name w:val="Normal (Web)"/>
    <w:basedOn w:val="Normal"/>
    <w:uiPriority w:val="99"/>
    <w:semiHidden/>
    <w:unhideWhenUsed/>
    <w:rsid w:val="0058691A"/>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CoventryZoningListStyle">
    <w:name w:val="Coventry Zoning List Style"/>
    <w:uiPriority w:val="99"/>
    <w:rsid w:val="00D97D01"/>
    <w:pPr>
      <w:numPr>
        <w:numId w:val="4"/>
      </w:numPr>
    </w:pPr>
  </w:style>
  <w:style w:type="paragraph" w:customStyle="1" w:styleId="UnderlinedHeading4">
    <w:name w:val="Underlined Heading 4"/>
    <w:basedOn w:val="Heading4"/>
    <w:link w:val="UnderlinedHeading4Char"/>
    <w:qFormat/>
    <w:rsid w:val="00D97D01"/>
    <w:rPr>
      <w:u w:val="single"/>
    </w:rPr>
  </w:style>
  <w:style w:type="character" w:customStyle="1" w:styleId="UnderlinedHeading4Char">
    <w:name w:val="Underlined Heading 4 Char"/>
    <w:basedOn w:val="Heading4Char"/>
    <w:link w:val="UnderlinedHeading4"/>
    <w:rsid w:val="00D97D01"/>
    <w:rPr>
      <w:rFonts w:ascii="Swis721 BT" w:eastAsiaTheme="majorEastAsia" w:hAnsi="Swis721 BT" w:cstheme="majorBidi"/>
      <w:i/>
      <w:iCs/>
      <w:color w:val="0067A0" w:themeColor="accent1"/>
      <w:sz w:val="22"/>
      <w:u w:val="single"/>
    </w:rPr>
  </w:style>
  <w:style w:type="paragraph" w:customStyle="1" w:styleId="UnderlinedListParagraphStyle">
    <w:name w:val="Underlined List Paragraph Style"/>
    <w:basedOn w:val="ListParagraph"/>
    <w:link w:val="UnderlinedListParagraphStyleChar"/>
    <w:qFormat/>
    <w:rsid w:val="00D97D01"/>
    <w:rPr>
      <w:u w:val="single"/>
    </w:rPr>
  </w:style>
  <w:style w:type="character" w:customStyle="1" w:styleId="ListParagraphChar">
    <w:name w:val="List Paragraph Char"/>
    <w:basedOn w:val="DefaultParagraphFont"/>
    <w:link w:val="ListParagraph"/>
    <w:uiPriority w:val="1"/>
    <w:rsid w:val="00D97D01"/>
    <w:rPr>
      <w:sz w:val="22"/>
    </w:rPr>
  </w:style>
  <w:style w:type="character" w:customStyle="1" w:styleId="UnderlinedListParagraphStyleChar">
    <w:name w:val="Underlined List Paragraph Style Char"/>
    <w:basedOn w:val="ListParagraphChar"/>
    <w:link w:val="UnderlinedListParagraphStyle"/>
    <w:rsid w:val="00D97D01"/>
    <w:rPr>
      <w:sz w:val="22"/>
      <w:u w:val="single"/>
    </w:rPr>
  </w:style>
  <w:style w:type="paragraph" w:styleId="CommentSubject">
    <w:name w:val="annotation subject"/>
    <w:basedOn w:val="CommentText"/>
    <w:next w:val="CommentText"/>
    <w:link w:val="CommentSubjectChar"/>
    <w:uiPriority w:val="99"/>
    <w:semiHidden/>
    <w:unhideWhenUsed/>
    <w:rsid w:val="00D97D01"/>
    <w:rPr>
      <w:b/>
      <w:bCs/>
    </w:rPr>
  </w:style>
  <w:style w:type="character" w:customStyle="1" w:styleId="CommentSubjectChar">
    <w:name w:val="Comment Subject Char"/>
    <w:basedOn w:val="CommentTextChar"/>
    <w:link w:val="CommentSubject"/>
    <w:uiPriority w:val="99"/>
    <w:semiHidden/>
    <w:rsid w:val="00D97D01"/>
    <w:rPr>
      <w:b/>
      <w:bCs/>
      <w:sz w:val="20"/>
      <w:szCs w:val="20"/>
    </w:rPr>
  </w:style>
  <w:style w:type="character" w:styleId="Strong">
    <w:name w:val="Strong"/>
    <w:basedOn w:val="DefaultParagraphFont"/>
    <w:uiPriority w:val="22"/>
    <w:qFormat/>
    <w:rsid w:val="00326642"/>
    <w:rPr>
      <w:b/>
      <w:bCs/>
    </w:rPr>
  </w:style>
  <w:style w:type="paragraph" w:styleId="Caption">
    <w:name w:val="caption"/>
    <w:basedOn w:val="Normal"/>
    <w:next w:val="Normal"/>
    <w:uiPriority w:val="35"/>
    <w:unhideWhenUsed/>
    <w:qFormat/>
    <w:rsid w:val="006A5239"/>
    <w:pPr>
      <w:spacing w:after="200" w:line="240" w:lineRule="auto"/>
    </w:pPr>
    <w:rPr>
      <w:i/>
      <w:iCs/>
      <w:color w:val="44546A" w:themeColor="text2"/>
      <w:sz w:val="18"/>
      <w:szCs w:val="18"/>
    </w:rPr>
  </w:style>
  <w:style w:type="table" w:styleId="TableGrid">
    <w:name w:val="Table Grid"/>
    <w:basedOn w:val="TableNormal"/>
    <w:uiPriority w:val="39"/>
    <w:rsid w:val="007B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8942">
      <w:bodyDiv w:val="1"/>
      <w:marLeft w:val="0"/>
      <w:marRight w:val="0"/>
      <w:marTop w:val="0"/>
      <w:marBottom w:val="0"/>
      <w:divBdr>
        <w:top w:val="none" w:sz="0" w:space="0" w:color="auto"/>
        <w:left w:val="none" w:sz="0" w:space="0" w:color="auto"/>
        <w:bottom w:val="none" w:sz="0" w:space="0" w:color="auto"/>
        <w:right w:val="none" w:sz="0" w:space="0" w:color="auto"/>
      </w:divBdr>
    </w:div>
    <w:div w:id="217715221">
      <w:bodyDiv w:val="1"/>
      <w:marLeft w:val="0"/>
      <w:marRight w:val="0"/>
      <w:marTop w:val="0"/>
      <w:marBottom w:val="0"/>
      <w:divBdr>
        <w:top w:val="none" w:sz="0" w:space="0" w:color="auto"/>
        <w:left w:val="none" w:sz="0" w:space="0" w:color="auto"/>
        <w:bottom w:val="none" w:sz="0" w:space="0" w:color="auto"/>
        <w:right w:val="none" w:sz="0" w:space="0" w:color="auto"/>
      </w:divBdr>
    </w:div>
    <w:div w:id="271207616">
      <w:bodyDiv w:val="1"/>
      <w:marLeft w:val="0"/>
      <w:marRight w:val="0"/>
      <w:marTop w:val="0"/>
      <w:marBottom w:val="0"/>
      <w:divBdr>
        <w:top w:val="none" w:sz="0" w:space="0" w:color="auto"/>
        <w:left w:val="none" w:sz="0" w:space="0" w:color="auto"/>
        <w:bottom w:val="none" w:sz="0" w:space="0" w:color="auto"/>
        <w:right w:val="none" w:sz="0" w:space="0" w:color="auto"/>
      </w:divBdr>
    </w:div>
    <w:div w:id="354768087">
      <w:bodyDiv w:val="1"/>
      <w:marLeft w:val="0"/>
      <w:marRight w:val="0"/>
      <w:marTop w:val="0"/>
      <w:marBottom w:val="0"/>
      <w:divBdr>
        <w:top w:val="none" w:sz="0" w:space="0" w:color="auto"/>
        <w:left w:val="none" w:sz="0" w:space="0" w:color="auto"/>
        <w:bottom w:val="none" w:sz="0" w:space="0" w:color="auto"/>
        <w:right w:val="none" w:sz="0" w:space="0" w:color="auto"/>
      </w:divBdr>
    </w:div>
    <w:div w:id="383214581">
      <w:bodyDiv w:val="1"/>
      <w:marLeft w:val="0"/>
      <w:marRight w:val="0"/>
      <w:marTop w:val="0"/>
      <w:marBottom w:val="0"/>
      <w:divBdr>
        <w:top w:val="none" w:sz="0" w:space="0" w:color="auto"/>
        <w:left w:val="none" w:sz="0" w:space="0" w:color="auto"/>
        <w:bottom w:val="none" w:sz="0" w:space="0" w:color="auto"/>
        <w:right w:val="none" w:sz="0" w:space="0" w:color="auto"/>
      </w:divBdr>
      <w:divsChild>
        <w:div w:id="1577085342">
          <w:marLeft w:val="0"/>
          <w:marRight w:val="0"/>
          <w:marTop w:val="120"/>
          <w:marBottom w:val="75"/>
          <w:divBdr>
            <w:top w:val="none" w:sz="0" w:space="0" w:color="auto"/>
            <w:left w:val="none" w:sz="0" w:space="0" w:color="auto"/>
            <w:bottom w:val="none" w:sz="0" w:space="0" w:color="auto"/>
            <w:right w:val="none" w:sz="0" w:space="0" w:color="auto"/>
          </w:divBdr>
          <w:divsChild>
            <w:div w:id="1913082060">
              <w:marLeft w:val="0"/>
              <w:marRight w:val="0"/>
              <w:marTop w:val="0"/>
              <w:marBottom w:val="0"/>
              <w:divBdr>
                <w:top w:val="none" w:sz="0" w:space="0" w:color="auto"/>
                <w:left w:val="none" w:sz="0" w:space="0" w:color="auto"/>
                <w:bottom w:val="none" w:sz="0" w:space="0" w:color="auto"/>
                <w:right w:val="none" w:sz="0" w:space="0" w:color="auto"/>
              </w:divBdr>
            </w:div>
            <w:div w:id="468282965">
              <w:marLeft w:val="0"/>
              <w:marRight w:val="0"/>
              <w:marTop w:val="0"/>
              <w:marBottom w:val="0"/>
              <w:divBdr>
                <w:top w:val="none" w:sz="0" w:space="0" w:color="auto"/>
                <w:left w:val="none" w:sz="0" w:space="0" w:color="auto"/>
                <w:bottom w:val="none" w:sz="0" w:space="0" w:color="auto"/>
                <w:right w:val="none" w:sz="0" w:space="0" w:color="auto"/>
              </w:divBdr>
              <w:divsChild>
                <w:div w:id="11925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4361">
          <w:marLeft w:val="0"/>
          <w:marRight w:val="0"/>
          <w:marTop w:val="0"/>
          <w:marBottom w:val="0"/>
          <w:divBdr>
            <w:top w:val="none" w:sz="0" w:space="0" w:color="auto"/>
            <w:left w:val="none" w:sz="0" w:space="0" w:color="auto"/>
            <w:bottom w:val="none" w:sz="0" w:space="0" w:color="auto"/>
            <w:right w:val="none" w:sz="0" w:space="0" w:color="auto"/>
          </w:divBdr>
        </w:div>
      </w:divsChild>
    </w:div>
    <w:div w:id="417751220">
      <w:bodyDiv w:val="1"/>
      <w:marLeft w:val="0"/>
      <w:marRight w:val="0"/>
      <w:marTop w:val="0"/>
      <w:marBottom w:val="0"/>
      <w:divBdr>
        <w:top w:val="none" w:sz="0" w:space="0" w:color="auto"/>
        <w:left w:val="none" w:sz="0" w:space="0" w:color="auto"/>
        <w:bottom w:val="none" w:sz="0" w:space="0" w:color="auto"/>
        <w:right w:val="none" w:sz="0" w:space="0" w:color="auto"/>
      </w:divBdr>
    </w:div>
    <w:div w:id="537083897">
      <w:bodyDiv w:val="1"/>
      <w:marLeft w:val="0"/>
      <w:marRight w:val="0"/>
      <w:marTop w:val="0"/>
      <w:marBottom w:val="0"/>
      <w:divBdr>
        <w:top w:val="none" w:sz="0" w:space="0" w:color="auto"/>
        <w:left w:val="none" w:sz="0" w:space="0" w:color="auto"/>
        <w:bottom w:val="none" w:sz="0" w:space="0" w:color="auto"/>
        <w:right w:val="none" w:sz="0" w:space="0" w:color="auto"/>
      </w:divBdr>
    </w:div>
    <w:div w:id="577516236">
      <w:bodyDiv w:val="1"/>
      <w:marLeft w:val="0"/>
      <w:marRight w:val="0"/>
      <w:marTop w:val="0"/>
      <w:marBottom w:val="0"/>
      <w:divBdr>
        <w:top w:val="none" w:sz="0" w:space="0" w:color="auto"/>
        <w:left w:val="none" w:sz="0" w:space="0" w:color="auto"/>
        <w:bottom w:val="none" w:sz="0" w:space="0" w:color="auto"/>
        <w:right w:val="none" w:sz="0" w:space="0" w:color="auto"/>
      </w:divBdr>
    </w:div>
    <w:div w:id="615791799">
      <w:bodyDiv w:val="1"/>
      <w:marLeft w:val="0"/>
      <w:marRight w:val="0"/>
      <w:marTop w:val="0"/>
      <w:marBottom w:val="0"/>
      <w:divBdr>
        <w:top w:val="none" w:sz="0" w:space="0" w:color="auto"/>
        <w:left w:val="none" w:sz="0" w:space="0" w:color="auto"/>
        <w:bottom w:val="none" w:sz="0" w:space="0" w:color="auto"/>
        <w:right w:val="none" w:sz="0" w:space="0" w:color="auto"/>
      </w:divBdr>
    </w:div>
    <w:div w:id="867645641">
      <w:bodyDiv w:val="1"/>
      <w:marLeft w:val="0"/>
      <w:marRight w:val="0"/>
      <w:marTop w:val="0"/>
      <w:marBottom w:val="0"/>
      <w:divBdr>
        <w:top w:val="none" w:sz="0" w:space="0" w:color="auto"/>
        <w:left w:val="none" w:sz="0" w:space="0" w:color="auto"/>
        <w:bottom w:val="none" w:sz="0" w:space="0" w:color="auto"/>
        <w:right w:val="none" w:sz="0" w:space="0" w:color="auto"/>
      </w:divBdr>
    </w:div>
    <w:div w:id="884679948">
      <w:bodyDiv w:val="1"/>
      <w:marLeft w:val="0"/>
      <w:marRight w:val="0"/>
      <w:marTop w:val="0"/>
      <w:marBottom w:val="0"/>
      <w:divBdr>
        <w:top w:val="none" w:sz="0" w:space="0" w:color="auto"/>
        <w:left w:val="none" w:sz="0" w:space="0" w:color="auto"/>
        <w:bottom w:val="none" w:sz="0" w:space="0" w:color="auto"/>
        <w:right w:val="none" w:sz="0" w:space="0" w:color="auto"/>
      </w:divBdr>
      <w:divsChild>
        <w:div w:id="963731541">
          <w:marLeft w:val="0"/>
          <w:marRight w:val="0"/>
          <w:marTop w:val="120"/>
          <w:marBottom w:val="75"/>
          <w:divBdr>
            <w:top w:val="none" w:sz="0" w:space="0" w:color="auto"/>
            <w:left w:val="none" w:sz="0" w:space="0" w:color="auto"/>
            <w:bottom w:val="none" w:sz="0" w:space="0" w:color="auto"/>
            <w:right w:val="none" w:sz="0" w:space="0" w:color="auto"/>
          </w:divBdr>
          <w:divsChild>
            <w:div w:id="1394043164">
              <w:marLeft w:val="0"/>
              <w:marRight w:val="0"/>
              <w:marTop w:val="0"/>
              <w:marBottom w:val="0"/>
              <w:divBdr>
                <w:top w:val="none" w:sz="0" w:space="0" w:color="auto"/>
                <w:left w:val="none" w:sz="0" w:space="0" w:color="auto"/>
                <w:bottom w:val="none" w:sz="0" w:space="0" w:color="auto"/>
                <w:right w:val="none" w:sz="0" w:space="0" w:color="auto"/>
              </w:divBdr>
            </w:div>
            <w:div w:id="352270361">
              <w:marLeft w:val="0"/>
              <w:marRight w:val="0"/>
              <w:marTop w:val="0"/>
              <w:marBottom w:val="0"/>
              <w:divBdr>
                <w:top w:val="none" w:sz="0" w:space="0" w:color="auto"/>
                <w:left w:val="none" w:sz="0" w:space="0" w:color="auto"/>
                <w:bottom w:val="none" w:sz="0" w:space="0" w:color="auto"/>
                <w:right w:val="none" w:sz="0" w:space="0" w:color="auto"/>
              </w:divBdr>
              <w:divsChild>
                <w:div w:id="18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0397">
          <w:marLeft w:val="0"/>
          <w:marRight w:val="0"/>
          <w:marTop w:val="0"/>
          <w:marBottom w:val="0"/>
          <w:divBdr>
            <w:top w:val="none" w:sz="0" w:space="0" w:color="auto"/>
            <w:left w:val="none" w:sz="0" w:space="0" w:color="auto"/>
            <w:bottom w:val="none" w:sz="0" w:space="0" w:color="auto"/>
            <w:right w:val="none" w:sz="0" w:space="0" w:color="auto"/>
          </w:divBdr>
        </w:div>
      </w:divsChild>
    </w:div>
    <w:div w:id="945117541">
      <w:bodyDiv w:val="1"/>
      <w:marLeft w:val="0"/>
      <w:marRight w:val="0"/>
      <w:marTop w:val="0"/>
      <w:marBottom w:val="0"/>
      <w:divBdr>
        <w:top w:val="none" w:sz="0" w:space="0" w:color="auto"/>
        <w:left w:val="none" w:sz="0" w:space="0" w:color="auto"/>
        <w:bottom w:val="none" w:sz="0" w:space="0" w:color="auto"/>
        <w:right w:val="none" w:sz="0" w:space="0" w:color="auto"/>
      </w:divBdr>
      <w:divsChild>
        <w:div w:id="1815562595">
          <w:marLeft w:val="0"/>
          <w:marRight w:val="0"/>
          <w:marTop w:val="0"/>
          <w:marBottom w:val="0"/>
          <w:divBdr>
            <w:top w:val="none" w:sz="0" w:space="0" w:color="auto"/>
            <w:left w:val="none" w:sz="0" w:space="0" w:color="auto"/>
            <w:bottom w:val="none" w:sz="0" w:space="0" w:color="auto"/>
            <w:right w:val="none" w:sz="0" w:space="0" w:color="auto"/>
          </w:divBdr>
        </w:div>
        <w:div w:id="2005548761">
          <w:marLeft w:val="0"/>
          <w:marRight w:val="0"/>
          <w:marTop w:val="0"/>
          <w:marBottom w:val="0"/>
          <w:divBdr>
            <w:top w:val="none" w:sz="0" w:space="0" w:color="auto"/>
            <w:left w:val="none" w:sz="0" w:space="0" w:color="auto"/>
            <w:bottom w:val="none" w:sz="0" w:space="0" w:color="auto"/>
            <w:right w:val="none" w:sz="0" w:space="0" w:color="auto"/>
          </w:divBdr>
        </w:div>
        <w:div w:id="529607901">
          <w:marLeft w:val="0"/>
          <w:marRight w:val="0"/>
          <w:marTop w:val="0"/>
          <w:marBottom w:val="0"/>
          <w:divBdr>
            <w:top w:val="none" w:sz="0" w:space="0" w:color="auto"/>
            <w:left w:val="none" w:sz="0" w:space="0" w:color="auto"/>
            <w:bottom w:val="none" w:sz="0" w:space="0" w:color="auto"/>
            <w:right w:val="none" w:sz="0" w:space="0" w:color="auto"/>
          </w:divBdr>
        </w:div>
        <w:div w:id="985743122">
          <w:marLeft w:val="0"/>
          <w:marRight w:val="0"/>
          <w:marTop w:val="0"/>
          <w:marBottom w:val="0"/>
          <w:divBdr>
            <w:top w:val="none" w:sz="0" w:space="0" w:color="auto"/>
            <w:left w:val="none" w:sz="0" w:space="0" w:color="auto"/>
            <w:bottom w:val="none" w:sz="0" w:space="0" w:color="auto"/>
            <w:right w:val="none" w:sz="0" w:space="0" w:color="auto"/>
          </w:divBdr>
        </w:div>
      </w:divsChild>
    </w:div>
    <w:div w:id="963272793">
      <w:bodyDiv w:val="1"/>
      <w:marLeft w:val="0"/>
      <w:marRight w:val="0"/>
      <w:marTop w:val="0"/>
      <w:marBottom w:val="0"/>
      <w:divBdr>
        <w:top w:val="none" w:sz="0" w:space="0" w:color="auto"/>
        <w:left w:val="none" w:sz="0" w:space="0" w:color="auto"/>
        <w:bottom w:val="none" w:sz="0" w:space="0" w:color="auto"/>
        <w:right w:val="none" w:sz="0" w:space="0" w:color="auto"/>
      </w:divBdr>
    </w:div>
    <w:div w:id="967394382">
      <w:bodyDiv w:val="1"/>
      <w:marLeft w:val="0"/>
      <w:marRight w:val="0"/>
      <w:marTop w:val="0"/>
      <w:marBottom w:val="0"/>
      <w:divBdr>
        <w:top w:val="none" w:sz="0" w:space="0" w:color="auto"/>
        <w:left w:val="none" w:sz="0" w:space="0" w:color="auto"/>
        <w:bottom w:val="none" w:sz="0" w:space="0" w:color="auto"/>
        <w:right w:val="none" w:sz="0" w:space="0" w:color="auto"/>
      </w:divBdr>
    </w:div>
    <w:div w:id="988440033">
      <w:bodyDiv w:val="1"/>
      <w:marLeft w:val="0"/>
      <w:marRight w:val="0"/>
      <w:marTop w:val="0"/>
      <w:marBottom w:val="0"/>
      <w:divBdr>
        <w:top w:val="none" w:sz="0" w:space="0" w:color="auto"/>
        <w:left w:val="none" w:sz="0" w:space="0" w:color="auto"/>
        <w:bottom w:val="none" w:sz="0" w:space="0" w:color="auto"/>
        <w:right w:val="none" w:sz="0" w:space="0" w:color="auto"/>
      </w:divBdr>
      <w:divsChild>
        <w:div w:id="725762031">
          <w:marLeft w:val="0"/>
          <w:marRight w:val="0"/>
          <w:marTop w:val="120"/>
          <w:marBottom w:val="75"/>
          <w:divBdr>
            <w:top w:val="none" w:sz="0" w:space="0" w:color="auto"/>
            <w:left w:val="none" w:sz="0" w:space="0" w:color="auto"/>
            <w:bottom w:val="none" w:sz="0" w:space="0" w:color="auto"/>
            <w:right w:val="none" w:sz="0" w:space="0" w:color="auto"/>
          </w:divBdr>
          <w:divsChild>
            <w:div w:id="1063993397">
              <w:marLeft w:val="0"/>
              <w:marRight w:val="0"/>
              <w:marTop w:val="0"/>
              <w:marBottom w:val="0"/>
              <w:divBdr>
                <w:top w:val="none" w:sz="0" w:space="0" w:color="auto"/>
                <w:left w:val="none" w:sz="0" w:space="0" w:color="auto"/>
                <w:bottom w:val="none" w:sz="0" w:space="0" w:color="auto"/>
                <w:right w:val="none" w:sz="0" w:space="0" w:color="auto"/>
              </w:divBdr>
            </w:div>
            <w:div w:id="975136062">
              <w:marLeft w:val="0"/>
              <w:marRight w:val="0"/>
              <w:marTop w:val="0"/>
              <w:marBottom w:val="0"/>
              <w:divBdr>
                <w:top w:val="none" w:sz="0" w:space="0" w:color="auto"/>
                <w:left w:val="none" w:sz="0" w:space="0" w:color="auto"/>
                <w:bottom w:val="none" w:sz="0" w:space="0" w:color="auto"/>
                <w:right w:val="none" w:sz="0" w:space="0" w:color="auto"/>
              </w:divBdr>
              <w:divsChild>
                <w:div w:id="15844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0217">
          <w:marLeft w:val="0"/>
          <w:marRight w:val="0"/>
          <w:marTop w:val="0"/>
          <w:marBottom w:val="0"/>
          <w:divBdr>
            <w:top w:val="none" w:sz="0" w:space="0" w:color="auto"/>
            <w:left w:val="none" w:sz="0" w:space="0" w:color="auto"/>
            <w:bottom w:val="none" w:sz="0" w:space="0" w:color="auto"/>
            <w:right w:val="none" w:sz="0" w:space="0" w:color="auto"/>
          </w:divBdr>
        </w:div>
      </w:divsChild>
    </w:div>
    <w:div w:id="1011907468">
      <w:bodyDiv w:val="1"/>
      <w:marLeft w:val="0"/>
      <w:marRight w:val="0"/>
      <w:marTop w:val="0"/>
      <w:marBottom w:val="0"/>
      <w:divBdr>
        <w:top w:val="none" w:sz="0" w:space="0" w:color="auto"/>
        <w:left w:val="none" w:sz="0" w:space="0" w:color="auto"/>
        <w:bottom w:val="none" w:sz="0" w:space="0" w:color="auto"/>
        <w:right w:val="none" w:sz="0" w:space="0" w:color="auto"/>
      </w:divBdr>
    </w:div>
    <w:div w:id="1265069749">
      <w:bodyDiv w:val="1"/>
      <w:marLeft w:val="0"/>
      <w:marRight w:val="0"/>
      <w:marTop w:val="0"/>
      <w:marBottom w:val="0"/>
      <w:divBdr>
        <w:top w:val="none" w:sz="0" w:space="0" w:color="auto"/>
        <w:left w:val="none" w:sz="0" w:space="0" w:color="auto"/>
        <w:bottom w:val="none" w:sz="0" w:space="0" w:color="auto"/>
        <w:right w:val="none" w:sz="0" w:space="0" w:color="auto"/>
      </w:divBdr>
    </w:div>
    <w:div w:id="1293752001">
      <w:bodyDiv w:val="1"/>
      <w:marLeft w:val="0"/>
      <w:marRight w:val="0"/>
      <w:marTop w:val="0"/>
      <w:marBottom w:val="0"/>
      <w:divBdr>
        <w:top w:val="none" w:sz="0" w:space="0" w:color="auto"/>
        <w:left w:val="none" w:sz="0" w:space="0" w:color="auto"/>
        <w:bottom w:val="none" w:sz="0" w:space="0" w:color="auto"/>
        <w:right w:val="none" w:sz="0" w:space="0" w:color="auto"/>
      </w:divBdr>
    </w:div>
    <w:div w:id="1297488274">
      <w:bodyDiv w:val="1"/>
      <w:marLeft w:val="0"/>
      <w:marRight w:val="0"/>
      <w:marTop w:val="0"/>
      <w:marBottom w:val="0"/>
      <w:divBdr>
        <w:top w:val="none" w:sz="0" w:space="0" w:color="auto"/>
        <w:left w:val="none" w:sz="0" w:space="0" w:color="auto"/>
        <w:bottom w:val="none" w:sz="0" w:space="0" w:color="auto"/>
        <w:right w:val="none" w:sz="0" w:space="0" w:color="auto"/>
      </w:divBdr>
      <w:divsChild>
        <w:div w:id="633491326">
          <w:marLeft w:val="0"/>
          <w:marRight w:val="0"/>
          <w:marTop w:val="120"/>
          <w:marBottom w:val="75"/>
          <w:divBdr>
            <w:top w:val="none" w:sz="0" w:space="0" w:color="auto"/>
            <w:left w:val="none" w:sz="0" w:space="0" w:color="auto"/>
            <w:bottom w:val="none" w:sz="0" w:space="0" w:color="auto"/>
            <w:right w:val="none" w:sz="0" w:space="0" w:color="auto"/>
          </w:divBdr>
          <w:divsChild>
            <w:div w:id="1772705976">
              <w:marLeft w:val="0"/>
              <w:marRight w:val="0"/>
              <w:marTop w:val="0"/>
              <w:marBottom w:val="0"/>
              <w:divBdr>
                <w:top w:val="none" w:sz="0" w:space="0" w:color="auto"/>
                <w:left w:val="none" w:sz="0" w:space="0" w:color="auto"/>
                <w:bottom w:val="none" w:sz="0" w:space="0" w:color="auto"/>
                <w:right w:val="none" w:sz="0" w:space="0" w:color="auto"/>
              </w:divBdr>
            </w:div>
            <w:div w:id="535964849">
              <w:marLeft w:val="0"/>
              <w:marRight w:val="0"/>
              <w:marTop w:val="0"/>
              <w:marBottom w:val="0"/>
              <w:divBdr>
                <w:top w:val="none" w:sz="0" w:space="0" w:color="auto"/>
                <w:left w:val="none" w:sz="0" w:space="0" w:color="auto"/>
                <w:bottom w:val="none" w:sz="0" w:space="0" w:color="auto"/>
                <w:right w:val="none" w:sz="0" w:space="0" w:color="auto"/>
              </w:divBdr>
              <w:divsChild>
                <w:div w:id="7659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52">
          <w:marLeft w:val="0"/>
          <w:marRight w:val="0"/>
          <w:marTop w:val="0"/>
          <w:marBottom w:val="0"/>
          <w:divBdr>
            <w:top w:val="none" w:sz="0" w:space="0" w:color="auto"/>
            <w:left w:val="none" w:sz="0" w:space="0" w:color="auto"/>
            <w:bottom w:val="none" w:sz="0" w:space="0" w:color="auto"/>
            <w:right w:val="none" w:sz="0" w:space="0" w:color="auto"/>
          </w:divBdr>
        </w:div>
      </w:divsChild>
    </w:div>
    <w:div w:id="1389451125">
      <w:bodyDiv w:val="1"/>
      <w:marLeft w:val="0"/>
      <w:marRight w:val="0"/>
      <w:marTop w:val="0"/>
      <w:marBottom w:val="0"/>
      <w:divBdr>
        <w:top w:val="none" w:sz="0" w:space="0" w:color="auto"/>
        <w:left w:val="none" w:sz="0" w:space="0" w:color="auto"/>
        <w:bottom w:val="none" w:sz="0" w:space="0" w:color="auto"/>
        <w:right w:val="none" w:sz="0" w:space="0" w:color="auto"/>
      </w:divBdr>
    </w:div>
    <w:div w:id="1397050227">
      <w:bodyDiv w:val="1"/>
      <w:marLeft w:val="0"/>
      <w:marRight w:val="0"/>
      <w:marTop w:val="0"/>
      <w:marBottom w:val="0"/>
      <w:divBdr>
        <w:top w:val="none" w:sz="0" w:space="0" w:color="auto"/>
        <w:left w:val="none" w:sz="0" w:space="0" w:color="auto"/>
        <w:bottom w:val="none" w:sz="0" w:space="0" w:color="auto"/>
        <w:right w:val="none" w:sz="0" w:space="0" w:color="auto"/>
      </w:divBdr>
    </w:div>
    <w:div w:id="1432819096">
      <w:bodyDiv w:val="1"/>
      <w:marLeft w:val="0"/>
      <w:marRight w:val="0"/>
      <w:marTop w:val="0"/>
      <w:marBottom w:val="0"/>
      <w:divBdr>
        <w:top w:val="none" w:sz="0" w:space="0" w:color="auto"/>
        <w:left w:val="none" w:sz="0" w:space="0" w:color="auto"/>
        <w:bottom w:val="none" w:sz="0" w:space="0" w:color="auto"/>
        <w:right w:val="none" w:sz="0" w:space="0" w:color="auto"/>
      </w:divBdr>
    </w:div>
    <w:div w:id="1435205569">
      <w:bodyDiv w:val="1"/>
      <w:marLeft w:val="0"/>
      <w:marRight w:val="0"/>
      <w:marTop w:val="0"/>
      <w:marBottom w:val="0"/>
      <w:divBdr>
        <w:top w:val="none" w:sz="0" w:space="0" w:color="auto"/>
        <w:left w:val="none" w:sz="0" w:space="0" w:color="auto"/>
        <w:bottom w:val="none" w:sz="0" w:space="0" w:color="auto"/>
        <w:right w:val="none" w:sz="0" w:space="0" w:color="auto"/>
      </w:divBdr>
    </w:div>
    <w:div w:id="1493982919">
      <w:bodyDiv w:val="1"/>
      <w:marLeft w:val="0"/>
      <w:marRight w:val="0"/>
      <w:marTop w:val="0"/>
      <w:marBottom w:val="0"/>
      <w:divBdr>
        <w:top w:val="none" w:sz="0" w:space="0" w:color="auto"/>
        <w:left w:val="none" w:sz="0" w:space="0" w:color="auto"/>
        <w:bottom w:val="none" w:sz="0" w:space="0" w:color="auto"/>
        <w:right w:val="none" w:sz="0" w:space="0" w:color="auto"/>
      </w:divBdr>
    </w:div>
    <w:div w:id="1539244476">
      <w:bodyDiv w:val="1"/>
      <w:marLeft w:val="0"/>
      <w:marRight w:val="0"/>
      <w:marTop w:val="0"/>
      <w:marBottom w:val="0"/>
      <w:divBdr>
        <w:top w:val="none" w:sz="0" w:space="0" w:color="auto"/>
        <w:left w:val="none" w:sz="0" w:space="0" w:color="auto"/>
        <w:bottom w:val="none" w:sz="0" w:space="0" w:color="auto"/>
        <w:right w:val="none" w:sz="0" w:space="0" w:color="auto"/>
      </w:divBdr>
    </w:div>
    <w:div w:id="1547714434">
      <w:bodyDiv w:val="1"/>
      <w:marLeft w:val="0"/>
      <w:marRight w:val="0"/>
      <w:marTop w:val="0"/>
      <w:marBottom w:val="0"/>
      <w:divBdr>
        <w:top w:val="none" w:sz="0" w:space="0" w:color="auto"/>
        <w:left w:val="none" w:sz="0" w:space="0" w:color="auto"/>
        <w:bottom w:val="none" w:sz="0" w:space="0" w:color="auto"/>
        <w:right w:val="none" w:sz="0" w:space="0" w:color="auto"/>
      </w:divBdr>
    </w:div>
    <w:div w:id="18118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WSE Updated">
      <a:dk1>
        <a:sysClr val="windowText" lastClr="000000"/>
      </a:dk1>
      <a:lt1>
        <a:sysClr val="window" lastClr="FFFFFF"/>
      </a:lt1>
      <a:dk2>
        <a:srgbClr val="44546A"/>
      </a:dk2>
      <a:lt2>
        <a:srgbClr val="E7E6E6"/>
      </a:lt2>
      <a:accent1>
        <a:srgbClr val="0067A0"/>
      </a:accent1>
      <a:accent2>
        <a:srgbClr val="84BD00"/>
      </a:accent2>
      <a:accent3>
        <a:srgbClr val="7C6992"/>
      </a:accent3>
      <a:accent4>
        <a:srgbClr val="F1BE48"/>
      </a:accent4>
      <a:accent5>
        <a:srgbClr val="BA0C2F"/>
      </a:accent5>
      <a:accent6>
        <a:srgbClr val="041E42"/>
      </a:accent6>
      <a:hlink>
        <a:srgbClr val="0563C1"/>
      </a:hlink>
      <a:folHlink>
        <a:srgbClr val="954F72"/>
      </a:folHlink>
    </a:clrScheme>
    <a:fontScheme name="WSE">
      <a:majorFont>
        <a:latin typeface="Swis721 Blk BT"/>
        <a:ea typeface=""/>
        <a:cs typeface=""/>
      </a:majorFont>
      <a:minorFont>
        <a:latin typeface="Swis721 Lt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FD24E-DAD8-41DD-8B5F-7DE7E9A4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Mehard, Erin</dc:creator>
  <cp:keywords/>
  <dc:description/>
  <cp:lastModifiedBy>Josh Chase</cp:lastModifiedBy>
  <cp:revision>2</cp:revision>
  <dcterms:created xsi:type="dcterms:W3CDTF">2024-10-18T14:18:00Z</dcterms:created>
  <dcterms:modified xsi:type="dcterms:W3CDTF">2024-10-18T14:18:00Z</dcterms:modified>
</cp:coreProperties>
</file>